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26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142-2012, promovido por doña Rocío Andalucía Parrado Fernández, representada por la Procuradora de los Tribunales doña Silvia de la Fuente Bravo y bajo la dirección del Letrado don Francisco José Alés Moreno, contra el Auto de la Sala de lo Social del Tribunal Supremo de 25 de octubre de 2011, por el que se inadmite el recurso de casación para la unificación de doctrina núm. 1042-2011 interpuesto contra la Sentencia del Tribunal Superior de Justicia de Andalucía, sede de Málaga, de 16 de diciembre de 2010, por la que se estima el recurso de suplicación núm. 876-2010, interpuesto contra la Sentencia del Juzgado de lo Social núm. 2 de Málaga de 13 de octubre de 2009, dictada en el procedimiento sobre despido núm. 577-2009. Ha comparecido la entidad mercantil Mediterránea de Catering Senior, S.L., representada por la Procuradora de los Tribunales doña María Luisa Montero Correal y bajo la dirección del Letrado don Carlos de Pablo Blaya. Ha intervenido el Ministerio Fiscal.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enero de 2012, la Procuradora de los Tribunales doña Silvia de la Fuente Bravo, en nombre y representación de doña Rocío Andalucía Parrado Fernández, bajo la dirección del Letrado don Francisco José Alés Moreno,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tras el intento legal de conciliación, formuló el 8 de abril de 2009 demanda sobre despido por vulneración de derechos fundamentales contra la entidad mercantil Mediterránea de Catering, S.L., y don Manuel García González, con motivo del despido que le había sido comunicado el 4 de marzo de 2009, dando lugar al procedimiento núm. 577-2009, tramitado por el Juzgado de lo Social núm. 2 de Málaga. El Juzgado, tras la celebración de la vista, mediante providencia de 7 de julio de 2009, requirió a la recurrente para que, a la vista de la alegación del Letrado de la empresa demandada de que la verdadera empleadora era la entidad mercantil Mediterránea de Catering Senior, S.L., procediera a ampliar la demanda a la misma en un plazo de cuatro días. Esta ampliación se verificó mediante escrito registrado el 9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13 de octubre de 2009 se acordó, en relación con las diversas excepciones alegadas, estimar la excepción de falta de legitimación pasiva de la entidad mercantil Mediterránea de Catering, S.L., desestimar la de don Manuel García González e igualmente desestimar la excepción de caducidad de la acción alegada por la entidad mercantil Mediterránea de Catering Senior, S.L. En cuanto al fondo de la pretensión se acordó la nulidad del despido por haber sido la recurrente víctima de acoso laboral, con los pronunciamientos inherentes a la misma. En esta Sentencia se declaró como hecho probado segundo que la recurrente había recibido una carta de despido el 4 de marzo de 2009 con encabezamiento en el margen superior izquierdo de la empresa Mediterránea de Catering Senior, S.L., un sello en el lugar de la firma de la empresa Mediterránea de Catering, S.L., y todo ello en un impreso modelizado en cuya parte superior derecha aparece el anagrama Mediterránea de Catering. Como hecho probado cuarto, la sentencia establece que las entidades mercantiles Mediterránea de Catering, S.L., y Mediterránea de Catering Senior, S.L., tienen el mismo domicilio social, comparten el departamento de recursos humanos y los administradores solidarios y actúan en el comercio mercantil bajo la denominación de Mediterránea de Catering. En virtud de estos hechos probados se argumentó la desestimación de la excepción de caducidad de la acción, al entender que la carta de despido había generado confusión sobre la verdadera identidad de la empresa contratante, destacando que el Letrado de la entidad demandada, que tenía poder otorgado por ambas entidades mercantiles, no había advertido del error de identificación e incluso se personó en las actuaciones a nombre de la entidad Mediterránea de Catering, S.L., solicitando la práctica de diversas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y los condenados formularon recurso de suplicación, tramitado con el núm. 876-2010 por la Sala de lo Social del Tribunal Superior de Justicia de Andalucía, con sede en Málaga, que fue estimado por Sentencia de 16 de diciembre de 2010, en el sentido de entender que concurría la excepción de caducidad de la acción alegada por la entidad mercantil Mediterránea de Catering Senior, S.L. En primer lugar, se estima procedente la inclusión en el hecho probado segundo de un inciso en que se hiciera constar que junto con la carta de despido se entregaron a la demandante un finiquito y un certificado de empresa. El primero tenía un encabezamiento en que figuraba la entidad mercantil Mediterránea de Catering Senior, S.L., y en el segundo aparecía dicha denominación tanto en la casilla correspondiente a la empresa como en el sello impreso junto a la firma (fundamento de Derecho segundo). Igualmente se argumenta que la caducidad es una institución destinada a proteger la seguridad jurídica y que su interrupción sólo se admite en los casos en que la ley determina taxativamente, sin que pueda realizarse una interpretación extensiva o analógica. En virtud de este mandato de interpretación restrictiva, la Sentencia establece que la previsión del art. 103.2 de la Ley de procedimiento laboral (LPL), que permite excepcionar los plazos de caducidad, se refiere a los casos en que no se conozca verdaderamente al empresario y no aquellos en que la demandante sufra una equivocación, concluyendo que esto último es lo que había acontecido en el presente caso en el que de los diversos documentos entregados a la trabajadora en el momento del despido, además de los contratos de trabajo firmados, se derivaba claramente que la entidad Mediterránea de Catering Senior, S.L., era la única y real empleadora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ahora recurrente en amparo interpuso recurso de casación para la unificación de doctrina, tramitado con el núm. 1042-2011 por la Sala de lo Social del Tribunal Supremo, alegando la infracción del art. 103.2 LPL y la vulneración del derecho a la tutela judicial efectiva (art. 24.1 CE) desde la perspectiva del derecho de acceso a la jurisdicción. El recurso fue inadmitido por Auto de 25 de octubre de 2011 argumentando que la Sentencia de contraste se refería a un asunto en el que sí había concurrido un error en el trabajador imputable a la empresa empleadora, lo que no había sucedido en el presente caso en el que la Sentencia de suplicación había establecido que el error en la identificación de la empleadora era imputable a la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que las resoluciones judiciales impugnadas han vulnerado su derecho a la tutela judicial efectiva (art. 24.1 CE), en su dimensión de derecho de acceso a la jurisdicción. A esos efectos, señala que se ha realizado una interpretación y aplicación de la excepción de la caducidad de la acción a la que se refiere el art. 103.2 LPL contraria al principio pro actione, toda vez que el error sufrido en la correcta identificación de la empleadora era imputable a ella, al haber utilizado distintas denominaciones, toda ellas muy semejantes, en los diferentes documentos contractuales y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justifica la especial trascendencia constitucional del recurso poniendo de manifiesto la novedad que representa desde la perspectiva del derecho de acceso a la jurisdicción un pronunciamiento sobre el alcance de la excepción a los supuestos de caducidad previsto en el art. 103.2 LPL, que ha sido reproducida literalmente en el art. 103.2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5 de julio de 2012, acordó admitir a trámite la demanda de amparo y, en aplicación de lo dispuesto en el art. 51 de la Ley Orgánica del Tribunal Constitucional (LOTC), requerir la remisión de certificación o fotocopia adverada de las actuaciones y emplazamiento a quienes hubieran sido parte en el procedimiento, a excepción del demandante de amparo,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10 de septiembre de 2012, acordó tener por personado y parte a la Procuradora de los Tribunales doña María Luisa Montero Correal, en nombre y representación de la entidad mercantil Mediterránea de Catering Senior, S.L., y, a tenor de lo dispuesto en el art. 52.1 LOTC, dar vista de las actuaciones por plazo común de veinte días al Ministerio Fiscal y las partes personadas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en escrito registrado el 18 de octubre de 2012, presentó sus alegaciones solicitando la desestimación del recurso. En primer lugar, alega que la demanda sólo puede entenderse dirigida contra la sentencia de suplicación, habida cuenta que el Auto de inadmisión del recurso de casación no hace ningún pronunciamiento sobre la aplicación del art. 103.2 LPL. En segundo lugar, destaca que se está pidiendo un pronunciamiento sobre un supuesto de hecho que no ha acontecido, ya que lo declarado probado en la Sentencia de suplicación fue que el error de identificación en la empleadora no era imputable a la entidad contratante sino a la propia recurrente. De todo ello, concluye que no se ha producido ninguna vulneración del art. 24.1 CE, ya que se ha apreciado la concurrencia de la excepción de caducidad en virtud de una interpretación y aplicación de la legalidad vigente que no incurre en ningún defecto constitucional de motivación, al poder derivarse claramente de toda la documentación aportada al procedimiento que había un conocimiento suficiente y nítido de cuál era la entidad mercantil empleadora y que, por tanto, el error de identificación es sólo imputable a la trabajadora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23 de octubre de 2012, interesó que se otorgara el amparo solicitado por vulneración del derecho a la tutela judicial efectiva (art. 24.1 CE), con anulación de las resoluciones impugnadas y retroacción de actuaciones para que se dicte una nueva resolución judicial en el recurso de suplicación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destaca que, en aplicación de la consolidada doctrina constitucional sobre el derecho de acceso a la jurisdicción, debe concluirse que la aplicación de la caducidad realizada por la Sentencia de suplicación y confirmada con la inadmisión del recurso de casación no resulta respetuosa con el principio pro actione. Así, pone de manifiesto que, con independencia de que pueda discutirse sobre la eventual responsabilidad de la empresa en la confusión de la identificación de la empleadora por el indistinto uso que se realiza de denominaciones alternativas, lo relevante es que la resolución judicial impugnada no ha valorado otros datos relevantes que aparecían acreditados y probados en el procedimiento y de los que se derivaba inequívocamente que la empresa empleadora tuvo un conocimiento temporáneo de la demanda. De ese modo, incide, por un lado, en que el letrado que compareció a juicio defendiendo a Mediterránea de Catering Senior, S.L., tenía poderes de ambas empresas y que se había personado inicialmente en la causa como parte procesal a nombre de Mediterránea de Catering, S.L., proponiendo prueba; y, por otro, también resalta que ambas empresas tenían el mismo domicilio social, comparten departamento de recursos humanos y actúan en el tráfico mercantil con la misma denominación, formando parte de un mismo grupo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escrito registrado el 17 de octubre de 2012, presentó sus alegaciones reiterando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22 de noviembre de 2012 se señaló para deliberación y fallo el día 26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impugnada, en la medida en que estima la caducidad de la demanda formulada, ha vulnerado el derecho de la demandante a la tutela judicial efectiva (art. 24.1 CE), desde la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 elemento esencial del derecho a la tutela judicial efectiva (art. 24.1 CE) obtener del órgano judicial una resolución sobre el fondo de las pretensiones, derecho que también se satisface con una decisión de inadmisión que impida entrar en el fondo de la cuestión planteada cuando dicha decisión se funde en la existencia de una causa legal que resulte aplicada razonablemente. A este respecto, también se ha resaltado que el control constitucional de las decisiones de inadmisión ha de verificarse de forma especialmente intensa, dada la vigencia en estos casos del principio pro actione, que es de obligada observancia por los Jueces y Tribunales y que impide que determinadas interpretaciones y aplicaciones de los requisitos establecidos legalmente para acceder al proceso obstaculicen injustificadamente el derecho a que un órgano judicial conozca o resuelva en Derecho sobre la pretensión a él sometida. Así, se ha destacado que puede verse conculcado este derecho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(por todas, STC 22/2011,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nuestra jurisprudencia ha destacado en relación con la aplicación de los plazos de prescripción y de caducidad que en lo relativo a la interpretación de la actuación procesal de las partes con relevancia para el adecuado cumplimiento de los requisitos de admisibilidad de una acción, que los órganos jurisdiccionales ordinarios han de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(por todas, STC 194/2009, de 28 de septiembre, FJ 1), ello sin perjuicio, claro está, de la indudable importancia de las instituciones de la prescripción y de la caducidad para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queda acreditado en las actuaciones y ha sido expuesto más extensamente en los antecedentes, la resolución judicial impugnada aprecia la caducidad de la acción en relación con la ampliación de la demanda a la entidad mercantil Mediterránea de Catering Senior, S.L., argumentando que no puede entenderse que se esté ante uno de los supuestos excepcionales en que concurra un error en la identificación de la demandante inducido por la empleadora a los que se refiere el art. 103.2 de la Ley de procedimiento laboral, vigente en el momento de presentación de la demanda, ya que la documentación obrante en autos hacía evidente que esta entidad mercantil era la real empleadora y no la sociedad Mediterránea de Catering, S.L., contra la que se había dirigido inicialmente la demanda de conciliación previa y la posterior demanda judicial. A esos efectos se resta importancia a la circunstancia de que la carta de despido fuera firmada y sellada por el departamento de recursos humanos de la entidad Mediterránea de Catering, S.L., en un formulario modelizado bajo el membrete de denominación Mediterránea de Catering, frente al hecho de que en esa misma carta aparecía el encabezamiento de Mediterránea de Catering Senior, S.L., y asimismo figuraba esta empresa como empleadora en el contrato de trabajo y en el certificado de empresa entregado junto con la carta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queda acreditado y ha sido declarado probado en vía judicial, en primer lugar, que las entidades mercantiles Mediterránea de Catering, S.L., y Mediterránea de Catering Senior, S.L., tenían el mismo domicilio social, compartían el departamento de recursos humanos y los administradores solidarios y actuaban en el comercio mercantil bajo la denominación conjunta de Mediterránea de Catering. Y, en segundo lugar, que la entidad Mediterránea de Catering, S.L, que había sido demandada en plazo, fue representada en el procedimiento judicial por un abogado que contaba también con poderes de la entidad Mediterránea de Catering Senior, S.L., y que representó a ésta tras la ampliación de la demanda a dicha entidad, una vez que había defendido a la primera proponiendo diversas pruebas y alegando, a nombre de la empresa Mediterránea de Catering, S.L., que no era la real empleadora de la demandante. En definitiva, la confusión de los datos, sólo imputable a la otra parte, explica los relativos errores a los que pudo verse inducida la recurrente en amparo en el ejercicio de su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estos antecedentes, y tal como también ha sostenido el Ministerio Fiscal, debe concluirse que la resolución impugnada ha vulnerado el derecho de la recurrente a la tutela judicial efectiva (art. 24.1 CE), desde la concreta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cualquier otra consideración sobre la eventual responsabilidad en el error de la identificación de la empresa realmente empleadora, lo determinante desde la perspectiva constitucional es que las peculiares circunstancias concurrentes en este caso ponen de manifiesto que fue excesivamente formalista y desproporcionada la aplicación judicial realizada de la institución de la caducidad y su consecuencia jurídica de impedir un pronunciamiento sobre el fondo de una pretensión en la que, además, lo que se denunciaba era la lesión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institución de la caducidad es preservar la seguridad jurídica y permitir un temporáneo conocimiento a la demandada del ejercicio de la acción. En este contexto, tomando en consideración que la empresa Mediterránea de Catering, S.L., fue demandada en tiempo y forma por la trabajadora recurrente y la íntima relación de esta empresa con la entidad mercantil Mediterránea de Catering Senior, S.L., con la que compartía incluso el departamento de recursos humanos, debe concluirse que, a pesar de que la demanda se amplió a esta última ya transcurrido el plazo de caducidad, ello no le impidió ni tomar un conocimiento temporáneo del ejercicio de la acción judicial ni una participación activa dentro del procedimiento a través de la entidad inicialmente demandada, como lo demuestra el hecho de que el abogado que representó a la entidad Mediterránea de Catering, S.L., contaba ya con poderes de la entidad Mediterránea de Catering Senior, S.L., a la que representó tras la ampliación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verificado que en el presente caso la aplicación de la institución de la caducidad no ha guardado la debida proporcionalidad entre los fines que esta institución persigue de posibilitar el conocimiento temporáneo del ejercicio de la acción y los intereses que se sacrifican de impedir un pronunciamiento sobre el fondo de la pretensión deducida debe otorgarse el amparo solicitado al entender que la decisión judicial impugnada resultó excesivamente rigorista y contraria al principio pro actione, vulnerándose por ello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restablecimiento de este derecho exige la anulación de la Sentencia resolutoria del recurso de suplicación, así como del Auto de inadmisión de recurso de casación que declaró su firmeza, y la retroacción de actuaciones para que se dicte nueva resolución con respeto al derecho constitucional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Rocío Andalucía Parrado Fernández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del Tribunal Superior de Justicia de Andalucía, sede de Málaga, de 16 de diciembre de 2010, dictada en el recurso de suplicación núm. 876-2010, y, en cuanto declara su firmeza, del Auto de la Sala de lo Social del Tribunal Supremo de 25 de octubre de 2011, dictado en el recurso de casación para la unificación de doctrina núm. 1042-2011, retrotrayendo las actuaciones al momento inmediatamente anterior al del pronunciamiento de la primera de las resoluciones judiciales citadas para que se dicte una nueva resolución judicial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