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Manuel Aragón Reyes, don Pablo Pérez Tremps, don Francisco José Hernando Santiago, doña Adela Asua Batarrita, don Luis Ignacio Ortega Álvarez,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7046-2005, promovido por la Letrada de la Generalitat de Cataluña, en representación de su Gobierno, contra la Orden TAS/1948/2005, de 8 de junio, por la que se establecen las bases reguladoras y se convoca para el año 2005 la concesión de subvenciones para el desarrollo de proyectos de innovación en los servicios sociales. Ha intervenido y formulado alegaciones el Abogado del Estado en la representación que legalmente ostenta.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7 de octubre de 2005, la Letrada de la Generalitat de Cataluña, en representación de su Gobierno, formalizó, ante el Tribunal conflicto positivo de competencia contra la Orden TAS/1948/2005, de 8 de junio, por la que se establecen las bases reguladoras y se convoca para el año 2005 la concesión de subvenciones para el desarrollo de proyectos de innovación en los servicios sociales. Los términos del conflicto, según resulta del escrito de interposición y de la documentación adjunta, se exponen sumariamente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representación de la Generalitat aludiendo al requerimiento de incompetencia que el Consejo Ejecutivo de la Generalitat dirigió al Gobierno de la Nación en relación con la orden impugnada, en el que se solicitaba su derogación por invasión de la competencia exclusiva autonómica en materia de asistencia social. Requerimiento que fue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prosigue el escrito de la Letrada de la Generalitat de Cataluña señalando que recientemente su Gobierno ha planteado otro conflicto positivo de competencia en materia de subvenciones para fines de asistencia social. Conflicto frente a la Orden TAS/893/2005, cuya argumentación resultaría extrapolable a la presente controversia. En ambos casos, el conflicto se plantea, se afirma, después de que en el año 2004 el Gobierno de la Nación se hubiese comprometido a restringir sus convocatorias de ayudas futuras al ámbito de aplicación de aquellos programas que correspondería gestionar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examina el escrito de la Letrada de la Generalitat la jurisprudencia del Tribunal Constitucional en materia de asistencia social y, en concreto, sobre la actividad de fomento en dicha materia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destaca que las Comunidades Autónomas han asumido competencias en materia de asistencia social, si bien, al tiempo, se recuerda que el Tribunal Constitucional habría reconocido la posibilidad de que el Estado intervenga en aquélla bajo determinadas condiciones. Así, se refiere el escrito de la representante de la Generalitat de Cataluña a las SSTC 76/1986 y 146/1986 en las que, tras afirmar que la “asistencia social” es competencia exclusiva de la Comunidad Autónoma, se estableció que no obstante, el Estado, en la medida que existan problemas sociales peculiares que requieran y exijan un planteamiento global, puede intervenir al respecto, también mediante medidas de fomento, pero respetando las competencias propias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hace referencia a la doctrina sentada en las SSTC 13/1992 y 239/2002 que permitiría al Estado actuar en materia de asistencia social mediante medidas de fomento, pero siendo la intervención estatal en la gestión directa de la concesión de ayudas sólo legítima en la medida en que los programas correspondientes no puedan territorializarse en su gestión, esto es, cuando el ámbito estatal de su naturaleza y efectos hagan imposible la consecución del objetivo previsto sin esa gestión centralizada. Distingue el escrito de la representante de la Generalitat estas medidas de fomento de aquellas otras como las pensiones asistenciales que, de acuerdo con la jurisprudencia constitucional, sí se podrían justificar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examinada la doctrina constitucional en la materia, procede la representante del Gobierno de la Generalitat a analizar el amparo constitucional que el Gobierno de la Nación pretende para la Orden TAS/1948/2005.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examina, en primer lugar, la propia Orden TAS/1948/2005 que tiene por objeto fijar las bases reguladoras y convocar para el año 2005 la concesión de subvenciones para el desarrollo de proyectos de innovación en los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no tiene por objeto fomentar la realización de concretos programas de acción social, sino que pretende incentivar la incorporación de técnicas novedosas en la prestación de servicios sociales en tres grandes ámbitos de actuación: dependencia, lucha contra la pobreza y medio rural. La representante legal del Gobierno de Cataluña no objeta la finalidad de las ayudas, la colaboración con el tercer sector potenciando el desarrollo de técnicas novedosas en la acción social, sino que el Estado pretenda realizarla al margen de la distribución de competencias pues no se produce en el supuesto una excepción a la obligación de territorialización de los fondos y de la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centralización de la gestión que realiza la disposición impugnada, que deja en manos de órganos estatales la recepción de solicitudes, así como la ordenación, instrucción y resolución del procedimiento —sin exigir a las entidades solicitantes ninguna de las condiciones que la jurisprudencia del Tribunal Constitucional ha venido exigiendo para considerar procedente tal centralización, por ejemplo, que el ámbito de actuación de las mismas sea estatal— vulneraría, según el escrito de la representación de la Generalitat, el marco de competencias que en materia de asistencia social ha reconocido el Tribunal Constitucional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examina en el escrito de la representación del Gobierno de la Generalitat el acuerdo de 8 de septiembre de 2005 por el que el Consejo de Ministros rechaza el requerimiento de incompetencia formulado en relación con la orden ahora impugnada. En aquel Acuerdo el Gobierno de la Nación justificó, con cita de la STC 146/1986, FJ 5, la regulación y la convocatoria estatal en el hecho de tratarse de una intervención en tres grandes áreas de actuación, dependencia, lucha contra la pobreza y medio rural, que pretende abordar problemas que exceden el ámbito de la Comunidad Autónoma y presupone en su concepción y gestión un ámbito supracomunitario. Igualmente se justificó la actuación estatal en el título recogido en el art. 149.1.1 CE, así como en el carácter supraautonómico que se derivaría de estar vinculados a una serie de planes nacionales acordados en el ámbito de la conferencia sectorial de asuntos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examinadas las razones por las que se trata de justificar la actuación estatal, el escrito de planteamiento del conflicto entra a rebatir los argumentos aducidos por el Gobierno de la Nación en el acuerdo del Consejo de Ministros de 8 de septiembre de 2005 por el que rechaza el requerimiento de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representación de la Generalitat considera incoherente y confuso que en el acuerdo se fundamente la gestión centralizada en el carácter supraautonómico de los proyectos innovadores a desarrollar y luego afirme que no se excluye la participación de entidades de inferior ámbito territorial, por entender que la capacidad de innovación de las entidades y organizaciones es independiente del ámbito en que desarrollen sus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recuerda que el Estado pretende encontrar amparo en la competencia recogida en el art. 149.1.1 CE, sin embargo, de acuerdo con el escrito de la Letrada de la Generalitat, dicho título que ha dado cobertura a la concesión por el Estado de pensiones asistenciales, nunca ha sido invocado, alega la representación de la Generalitat, por el Tribunal Constitucional para amparar el establecimiento de líneas de subvención para programas de acción social, pues el art. 149.1.1 CE de acuerdo con la jurisprudencia del Tribunal “no puede operar como una especie de título horizontal” pues dichas cláusula se refiere a las posiciones jurídicas fundamentales (facultades elementales, límites esenciales, deberes fundamentales, prestaciones básicas, ciertas premisas o presupuestos previos), de acuerdo con la STC 61/1997, FFJJ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Habida cuenta de la definición del objeto de las subvenciones impugnadas no nos hallaríamos ante un supuesto en el que se vean implicadas las facultades elementales, los límites esenciales, o las prestaciones básicas de un derecho fundamental. En consecuencia, de la propia doctrina constitucional, resultaría excluida la pretensión de amparar en el art. 149.1.1 CE la gestión centralizada de la concesión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gestión únicamente sería legítima, señala el escrito de la representación de la Generalitat, en el supuesto de concurrencia de la doble dimensión de los programas a subvencionar: tanto el ámbito estatal de sus objetivos, alcance y efectos; como el ámbito estatal de actuación de las organizaciones beneficiarias, sin que la simple autodefinición de un teórico ámbito de actuación estatal sea, en sí mismo,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orden que nos ocupa olvida la exigencia de esa doble condición, requiriendo sencilla y únicamente que los programas innovadores que las entidades participantes pretendan llevar a cabo se inscriban en alguno de los tres ámbitos que se indican (dependencia, lucha contra la pobreza y medio rural). Se incumple así una vez más, se afirma,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escrito de la representación de la Generalitat de Cataluña afirmando que en el ámbito de la asistencia social se excluyen en general actuaciones de ámbito demasiado extenso, pues éstas son más eficaces en los ámbitos más próximos. La propia naturaleza y características de la materia asistencia social determinan la necesidad de territorializar las ayudas reservándose la excepción para aquellos programas que excepcionalmente tienen una incidencia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 la Generalitat de Cataluña, en materia de asistencia social, sólo en supuestos de emergencia ante grandes catástrofes o con respecto a determinadas campañas de sensibilización, estudios, conferencias o congresos se podría justificar una actuación a nivel estatal. Y es evidente, según el escrito de la Letrada de la Generalitat, que entre ellos no pueden contarse aquellos que incorporan técnicas novedosas, porque lo que define el ámbito estatal de los programas es el alcance efectivo de su ejecución, no los medios o técnicas que se empleen para llevarlos a cabo. Ni tampoco los concretos ámbitos materiales de actuación en los que tengan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niega el escrito de la representación de la Generalitat de Cataluña que la orden objeto de conflicto pueda considerarse vinculada al desarrollo de concretos planes suprautonómicos, como afirma el acuerdo del Consejo de Ministros de 8 de septiembre de 2005 por el que rechaza el requerimiento de incompetencia, pues ninguna referencia a ello hace la orden objeto de conflicto. Igualmente se rechaza que en sede de la conferencia sectorial de asuntos sociales se acordará la gestión centralizada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el escrito de la Letrada de la Generalitat que el acuerdo de 8 de septiembre de 2005 reconoce que la Orden TAS/1948/2005 no exige la doble dimensión reclamada por la doctrina del Tribunal Constitucional, y aquel acuerdo sorprende señalando que tal omisión no supone la infracción de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escrito de la representación de la Generalitat de Cataluña señalando que incluso el hecho de desarrollar la actividad subvencionada en el territorio de más de una Comunidad Autónoma no significa que automáticamente las competencias correspondan al Estado. La propia Constitución ha establecido cauces como el de los convenios de colaboración a través de los cuales las Comunidades Autónomas pueden gestionar programas que se realicen en más de una Comunidad Autónoma. El hecho de que una actuación afecte a varias comunidades autónomas no es suficiente para que de forma automática, trascienda el interés de las mismas y se convierta en interés supracomunitario.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 la Generalitat de Cataluña, el papel del Estado en materia de asistencia social debería agotarse al trazar prioridades en la ley de presupuestos, sin embargo, los recursos deberán ser territorializados en la propia ley de presupuestos o cuanto antes se pueda, pues aquéllos han de ser canalizados a través de las Comunidades Autónomas que son las que ostentan la competencia material en exclusiva. El escrito de conflicto denuncia que el Gobierno pretende recuperar una competencia que el constituyente le negó forzando la interpretación de los pronunciamientos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representación de la Generalitat de Cataluña recapitulando sus principales argumentos y solicitando que se declare que la competencia controvertida corresponde a la Generalitat de Cataluña, y se declare igualmente la inaplicación en Cataluña de los preceptos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8 de noviembre de 2005 el Pleno del Tribunal Constitucional, a propuesta de la Sección Tercera, acordó admitir a trámite el presente conflicto; dar traslado de la demanda y documentos presentados al Gobierno de la Nación, al objeto de presentar alegaciones en el plazo de veinte días; comunicar la incoación del conflicto a la Sala de lo Contencioso-Administrativo de la Audiencia Nacional, por si ante la misma estuviera impugnado o se impugnare la Orden TAS/1948/2005, de 8 de junio, por la que se establecen las bases reguladoras y se convoca para el año 2005 la concesión de subvenciones para el desarrollo de proyectos de innovación en los servicios sociales, en cuyo caso deberá suspenderse el curso del proceso hasta la decisión del conflicto, según dispone el art. 61.2 de la Ley Orgánica del Tribunal Constitucional y publicar la incoación del conflicto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21 de noviembre de 2005 el Abogado del Estado se personó en el proceso solicitando una prórroga del plazo concedido para formular alegaciones, prórroga que le fue concedida mediante providencia de 22 de noviembre de 2005. El escrito de alegaciones del Abogado del Estado se registró el día 27 de diciembre de 2005. En dicho escrito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Abogado del Estado concretando el objeto y alcance del conflicto positivo de competencia planteado por la Generalitat de Cataluña contra la Orden TAS/1948/2005, de 8 de junio, por la que se establecen las bases reguladoras y se convoca para el año 2005 la concesión de subvenciones para el desarrollo de proyectos de innovación en los servicios sociales. Tras sintetizar los argumentos de aquélla recuerda que el Gobierno en su reunión celebrada el 8 de septiembre de 2005, contestó al requerimiento estimando que las subvenciones objeto de regulación y convocatoria en la orden impugnada lejos de incidir en la ejecución ordinaria en materia de asistencia social, pretenden primordialmente promover la introducción de procedimientos y técnicas novedosas en la atención social por parte de las organizaciones del tercer sector que operan en el ámbito supraautonómico, y que, como tal, no son susceptibles de distribución territorial. Lo que le lleva a poner en cuestión el encuadre competencial que realiza la representante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efecto, a continuación considera la Abogado del Estado que las actuaciones contempladas en la orden objeto de conflicto configuran un claro supuesto de potestad subvencional del Estado y procede en primer lugar a determinar el título competencial que ampararía dicha intervención estatal. Considera que teniendo la orden objeto de conflicto como finalidad esencial favorecer la innovación en las actividades y programas que desarrollen las organizaciones no gubernamentales, las ayudas previstas en la misma se fundamentan en el título competencial estatal relativo a la investigación y desarrollo científico y técnico (art. 149.1.15 CE), considerando desacertada la exclusiva vinculación de los proyectos a desarrollar con el título alegado por la representación autonómica,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Abogado del Estado considera que del examen del preámbulo de la orden se desprende que el objetivo, directo e inmediato, de los proyectos a desarrollar tiene un componente claramente investigador en cuanto que se trata de medidas dirigidas a “impulsar los servicios sociales, atendiendo a las competencias estatales en las áreas de bienestar social y el fomento de la cooperación con las organizaciones no gubernamentales” promoviendo métodos y técnicas, que, una vez implantadas y contrastadas, puedan ser utilizadas posteriormente para lograr una mejora en los servicios sociales ya que el concepto de investigación incluye no sólo el apoyo de actividades directamente conducentes a descubrimientos científicos o avances técnicos, sino que también la divulgación de los resultados obtenidos es sin duda un medio de fomentar y coordinar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la Abogado del Estado, altamente reveladores del referido componente investigador resultan los arts. 1, 8 y 15 de la orden, en los que se define el objeto de las subvenciones, se establecen los criterios de valoración que se tendrán en cuenta para llevar a cabo la adjudicación (carácter innovador de la actividad propuesta), y se impone la obligación de la presentación de una memoria explicativa en la que consten las conclusiones extraídas de las innovaciones experimentadas. Se trata de la obtención de unos resultados tras un proceso de investigación, mediante la experimentación y su posterior evaluación constituyendo la finalidad de las ayudas la búsqueda de nuevas alternativas y fórmulas que permitan informar la elaboración de futuros planes integrales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encuadrarse las ayudas en la competencia recogida en el art. 149.1.15 CE sobre fomento y coordinación de la investigación científica y técnica nos encontraríamos en el cuarto supuesto de la STC 13/1992 que permite la gestión centralizada de las ayudas para garantizar su plena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Abogado del Estado lo decisivo para el acceso a tales subvenciones no puede ser la Comunidad Autónoma en la que actúen las entidades beneficiarias, sino la capacidad para desarrollar proyectos innovadores, por lo que no se vulnera la doctrina establecida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Examina, a continuación, el escrito de la Abogado del Estado el alcance que le ha dado la doctrina del Tribunal Constitucional al título competencial recogido en el art. 149.1.15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de acuerdo con el art. 149.1.15 CE el Estado ostenta plenas potestades, normativas y ejecutivas, en relación con el fomento de la investigación, sin que ello impida la competencia autonómica para establecer medidas de fomento de idéntica naturaleza. Y considera que la investigación no puede tener unos fines que no se conecten a un sector material de actividad concreta pues si la competencia de fomento de la investigación hubiera de descartarse siempre que se advirtieran fines ulteriores acabaría por vaciarse de contenido. Recuerda la Abogado del Estado la doctrina del Tribunal que establece que “la competencia relativa al fomento de la investigación científica y técnica es proyectable sobre cualquier sector material, sin que, por tanto, considerando la investigación como contenido inherente a la competencia exclusiva sobre determinada materia, pueda pretenderse la exclusión del ejercicio de la competencia para el fomento de la investigación en los ámbitos materiales cuya titularidad no corresponda a quien ejercita dicha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 la Abogado del Estado que es una competencia la de fomento de la investigación de contenido muy amplio pues incluye “todas aquellas medidas encauzadas a la promoción y avance de la investigación, entre las que, sin duda, deben también incluirse las de carácter organizativo y servicial que permitan al titular de la competencia crear y mantener unidades y centros dedicados al desarrollo y divulgación de las tareas investigadoras” (STC 90/1992). Y considera que también la divulgación de resultados es un medio de fomentar y coordinar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los programas a desarrollar previstos en la orden tienen como actividad principal y predominante la investigación, el Estado puede regular al amparo del art. 149.1.15 CE las condiciones de otorgamiento de subvenciones correctamente ordenadas al fomento de la investigación y desarrollo de innovaciones técnicas (incluidas las normas procedimentales), así como asumir la tramitación administrativa de dichas subvenciones (STC 175/2003).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reproducidas la Abogado del Estado solicita que se declare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noviembre de 2012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contra la Orden TAS/1948/2005, de 8 de junio, por la que se establecen las bases reguladoras y se convoca para el año 2005 la concesión de subvenciones para el desarrollo de proyectos de innovación en los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la Generalitat de Cataluña la orden objeto de conflicto no respeta la distribución de competencias en materia de asistencia social derivada del bloque de constitucionalidad en cuanto que dicha disposición centraliza en los órganos estatales la regulación, tramitación y resolución de las ayudas referidas, ignorando de este modo la doctrina constitucional recaída en relación con las subvenciones (singularmente, la STC 13/1992, de 6 de febrero). Por el contrario, la Abogado del Estado sostiene que las subvenciones establecidas en la orden objeto de conflicto encuentran cobertura en la competencia estatal en materia de fomento de la investigación científica y técnica prevista en el art. 149.1.15 CE, de manera que el Estado puede realizar la regulación completa de su convocatoria y concesión y también las funciones de mera ejecución necesarias para ello, sin que ello prejuzgue la competencia de la Comunidad Autónoma de Cataluña para establecer medidas de fomento de idéntica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nuestra doctrina (por todas, la STC 138/2009, de 15 de junio, FJ 3) la resolución de aquellas controversias que se susciten respecto a la regulación y aplicación de las ayudas o subvenciones que puedan establecerse en las distintas áreas o segmentos de la acción pública ha de tener en cuenta la distribución de competencias existente en la materia en la que proceda encuadrar las subvenciones de que se trate, para lo cual habremos de examinar el contenido concreto de la orden objeto de conflicto. La resolución del presente conflicto exige, por tanto, la realización del encuadramiento competencial de las subvenciones cuestionadas, a fin de determinar si, a la vista de las competencias del Estado y de la Comunidad Autónoma de Cataluña, se ha producido la vulneración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discrepan sobre el encuadramiento competencial de las referidas ayudas pues mientras que la Comunidad Autónoma considera que las mismas son enmarcables en el título competencial autonómico en materia de asistencia social, la Abogado del Estado afirma que se fundamentan en la competencia del Estado sobre el fomento de la investigación científica y técnica, recogida en el art. 149.1.15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preciso, pues, examinar, en primer lugar, el objeto y finalidad de la disposición impugnada a fin de determinar la incardinación material de la regulación objeto de conflicto y los efectos que se desprenden de tal incardinación en relación con las competencias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Orden TAS/1948/2005, de 8 de junio es el establecimiento de las bases reguladoras y la convocatoria para el año 2005 de “la concesión de subvenciones destinadas a colaborar en la financiación de proyectos desarrollados en el ámbito de los Servicios Sociales del área de actuación de la Secretaría de Estado de Servicios Sociales, Familias y Discapacidad que por su singularidad y novedad puedan contribuir al estudio de sus ámbitos preferentes de actuación” (art. 1). Las subvenciones se conceden a entidades u organizaciones no gubernamentales que cumplan los requisitos de constitución, fines, medios y cumplimiento de obligaciones que se señalan en el art. 4, excluyéndose las entidades de Derecho público, las universidades, los partidos políticos, los colegios profesionales y otras entidades con análogos fines específicos y naturaleza que los citados. La orden se completa con la determinación de la financiación estatal disponible para la concesión de las ayudas (art. 2) y la regulación de los siguientes aspectos: el procedimiento de concesión (art. 3); la forma y plazo de presentación de solicitudes (art. 5); la presupuestación de los programas presentados (art. 6); competencia, tramitación y resolución (arts. 7, 9 y 10); los criterios de evaluación (art. 8); el abono de la subvención (art. 11); las variaciones en los programas subvencionados y la modificación de la resolución de la concesión de la subvención (art. 12); las obligaciones de las entidades beneficiarias (art. 13); la justificación de los gastos (art. 14), la memoria justificativa y explicativa de la realización del proyecto subvencionado (art. 15); la responsabilidad y el régimen sancionador (art. 16); los reintegros (art. 17); así como una disposición adicional referida al régimen jurídico de aplicación supletoria, y una disposición final relativa a la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la vista del contenido de la orden objeto del conflicto, debemos examinar a continuación si las subvenciones que se convocan en la misma se encuadran en la materia alegada por la Abogado del Estado o, en su caso, en la que invoca la Generalitat de Cataluña en el escrito iniciador del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“la antedicha operación debe tener en consideración, como principio, que la ‘investigación científica y técnica’ es una materia que concurre con otras materias específicas de carácter sectorial y que, por tanto, adquiere su sentido en la medida en que ello es así. Sin embargo, la cuestión a dilucidar no es la de la posible concurrencia entre materias, que es un hecho, sino la determinación de la materia que está más específicamente afectada como consecuencia de dicha concurrencia, pues ya hemos indicado en ocasiones anteriores que el ámbito del art. 149.1.15 CE, por su propia naturaleza, debe concebirse en sus términos estrictos, a fin de no desplazar y determinar el vaciamiento de otros títulos competenciales con los que concurre (por todas, STC 175/2003, de 30 de septiembre, FJ 6), por lo que no es suficiente una relativa conexión con la naturaleza investigadora de las medidas controvertidas para que éstas sean configuradas como ‘investigación’, sino que dicha naturaleza debe ser nítida y preponderante, con el fin de no producir un vaciamiento de los títulos sectoriales” (STC 138/2009,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Puntualizado lo anterior debemos señalar que el encuadramiento propuesto por la Abogado del Estado en el presente asunto no puede ser acogido ya que no nos encontramos aquí ante proyectos de investigación en sentido estricto, pues de la tipología de proyectos que, conforme a la orden impugnada, van a ser objeto de financiación podemos deducir, en razón a su finalidad primordial, que se trata de actuaciones con una evidente incidencia social antes que actuaciones dirigidas al perfeccionamiento del conocimiento científico en cuestiones relacionadas con la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innovador de las actividades a financiar junto con la previsión del uso de las conclusiones a las que se llegue una vez se han desarrollado aquéllas para la elaboración de futuros planes por el Estado, características que se desprenden de la orden objeto de conflicto, no suponen, por sí mismas, que la naturaleza investigadora sea, en este concreto caso, la preponderante, pues de acuerdo con la doctrina de este Tribunal “‘no toda actividad de innovación en el turismo o en cualquier otra materia puede calificarse como investigación, pues la innovación en un sector determinado puede consistir, simplemente, en la aplicación al mismo de los resultados de una investigación ya realizada’, de manera que ‘no puede reconducirse a la materia investigación científica y técnica cualquier aplicación tecnológica ya existente, por novedosa que fuere para el área en que se implante, pues el art. 149.1.15 CE debe concebirse en sus términos estrictos, a fin de no desplazar y determinar el vaciamiento de otros títulos habilitantes con los que concurre’ [STC 242/1999, de 21 de diciembre, FJ 14 a)].” (STC 175/2003, de 30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la vista de la doctrina constitucional sobre la materia de investigación científica y técnica, que mantiene una concepción estricta sobre el art. 149.1.15 CE a fin de evitar el vaciamiento de otros títulos habilitantes con los que concurre, y atendiendo al propio contenido de la disposición impugnada, debe descartarse que la materia “investigación científica y técnica” sea precisamente el objetivo y finalidad que determinan la concesión de las ayudas previstas. En absoluto se aprecia de forma inequívoca que la “naturaleza nítida y preponderante” (STC 138/2009, FJ 3) de la regulación contenida en la orden controvertida sea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material en el que debe incardinarse la orden cuestionada es, por tanto, el relativo a la asistencia social, pues de acuerdo con el art. 8 de la orden objeto de conflicto las subvenciones persiguen financiar proyectos en los ámbitos de actuación preferente de la Secretaría de Estado de servicios sociales, familias y discapacidad relativos al área de la dependencia, a la lucha contra la pobreza y a desarrollar en el medio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la ocasión de definir el alcance de la materia asistencia social cuando ha afirmado que “atendiendo a las pautas de algunos instrumentos internacionales como la Carta social europea, la asistencia social, en sentido abstracto, abarca a una técnica de protección situada extramuros del sistema de la Seguridad Social, con caracteres propios, que la separan de otras afines o próximas a ella. Se trata de un mecanismo protector de situaciones de necesidad específicas, sentidas por grupos de población a los que no alcanza el sistema de Seguridad Social y que opera mediante técnicas distintas de las propias de ésta. Entre sus caracteres típicos se encuentran, de una parte, su sostenimiento al margen de toda obligación contributiva o previa colaboración económica de los destinatarios o beneficiarios, y, de otra, su dispensación por entes públicos o por organismos dependientes de entes públicos, cualesquiera que éstos sean. De esta forma, la asistencia social vendría conformada como una técnica pública de protección, lo que la distingue de la clásica beneficencia, en la que históricamente halla sus raíces” (STC 36/2012, de 15 de marzo, FJ 4). Bajo esta caracterización se deben encuadrar las subvenciones recogidas en la orden objeto del presente conflicto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identificada la materia a la que se refiere la disposición objeto de conflicto, asistencia social, hemos de examinar la distribución de competencias sobre la misma que se deriva de lo dispuesto en la Constitución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se refiere a la asistencia social en el art. 148.1.20 CE como una materia sobre la que las Comunidades Autónomas pueden asumir la competencia. Así lo ha hecho Cataluña en el art. 166 de su vigente Estatuto de Autonomía. Debemos señalar que en este momento se encuentra vigente la Ley Orgánica 6/2006, de 19 de julio, de reforma del Estatuto de Autonomía de Cataluña, a cuyas prescripciones, y no a las estatutarias vigentes en el momento de formalizarse el recurso, habremos de atenernos de acuerdo con nuestra doctrina según la cual el control de las normas que incurren en un posible exceso competencial debe hacerse de acuerdo con las normas del bloque de la constitucionalidad vigentes en el momento de dictar Sentencia (STC 1/2011, de 14 de febrero, FJ 2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166 del vigente Estatuto de Autonomía caracteriza las competencias de la Comunidad Autónoma en materia de asistencia social como exclusivas; no obstante, como hemos tenido la oportunidad de reiterar, la competencia de la Comunidad Autónoma “no impide el ejercicio de las competencias del Estado ex art. 149.1 CE, sea cuando éstas concurran con las autonómicas sobre el mismo espacio físico o sea sobre el mismo objeto jurídico”. (STC 31/2010, de 28 de junio, FJ 104). Al respecto, debemos insistir una vez más que las competencias autonómicas sobre materias no incluidas en el art. 149.1 CE, aunque se enuncien como “competencias exclusivas”, no cierran el paso a las competencias estatales previstas en aquel precepto constitucional. Por tanto, y como ya tuvimos ocasión de afirmar en relación, precisamente, con el art. 166 del vigente Estatuto de Autonomía de Cataluña, “el enunciado de la competencia autonómica como exclusiva no enerva las diferentes competencias del Estado que puedan estar implicadas (art. 149.1.6, 7 y 17 CE, entre otras), debiendo insistir, no obstante, en que de ningún modo se precisa una expresa salvaguarda de las competencias constitucionalmente reservadas al Estado por el art. 149.1 CE, puesto que constituyen límites infranqueables a los enunciados estatutarios.” (STC 31/2010, FJ 104).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que concurra en el presente supuesto la competencia alegada por la Abogado del Estado sobre el fomento de la investigación científica y técnica, recogida en el art. 149.1.15 CE, ello no supone, no obstante, la imposibilidad para el Estado de financiar acciones de fomento en materias atribuidas a la competencia exclusiva de las Comunidades Autónomas, pues hemos afirmado que “el Estado siempre podrá, en uso de su soberanía financiera (de gasto, en este caso), asignar fondos públicos a unas finalidades u otras, pues existen otros preceptos constitucionales (y singularmente los del capítulo III del título I) que legitiman la capacidad del Estado para disponer de su presupuesto en la acción social o económica” (STC 13/1992, de 6 de febrero, FJ 7). El Estado tiene, por tanto, la capacidad para poner su poder de gasto al servicio de una política de asistencia social, en el ejercicio soberano de la función legislativa presupuestaria, sin perjuicio de que corresponda a la Comunidad Autónoma la competencia exclusiva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13/1992 este Tribunal estableció un esquema de delimitación competencial entre el Estado y las Comunidades Autónomas en cuanto al ejercicio de la potestad subvencional de gasto público, resumido en cuatro supuestos generales que, pese al carácter abierto del esquema en el que se insertan, continúan siendo referente constante de nuestra doctrina posterior y de las alegaciones de las partes en los procesos de constitucionalidad. Dichos supuestos generales concilian la distribución competencial existente en cada materia entre el Estado y las Comunidades Autónomas, por un lado, con la reconocida potestad subvencional de gasto público que ostenta el Estado, por otro. Así, la regla general sobre el ejercicio de la potestad subvencional de gasto público del Estado en aquellas materias en las que las Comunidades Autónomas tienen competencia exclusiva y el Estado carece de título competencial alguno, tanto genérico como especifico, indica que la intervención estatal debe limitarse a “decidir asignar parte de sus fondos presupuestarios a esas materias o sectores … de manera genérica o global, por sectores o subsectores enteros de actividad”, y que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 [STC 13/1992,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materia de asistencia social debemos tener presente además nuestra reciente doctrina sobre el alcance de la potestad subvencional estatal en ese campo, según la cual, aun tratándose de una materia incluida en el primero de los cuatro supuestos sistematizados en el fundamento jurídico 8 de la STC 13/1992, hemos afirmado que “consideraremos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(SSTC 178/2011, de 8 de noviembre, FJ 7; y 36/2012, de 15 de marzo, FJ 8; doctrina aplicada posteriormente en las SSTC 72/2012, de 16 de abril, FJ 4; 73/2012, de 16 de abril, FJ 4; 77/2012, de 16 de abril, FJ 4; 173/2012, de 15 de octubre, FJ 7; y 177/2012, de 15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expuesto el marco competencial, la controversia versa, en realidad, en torno a la aplicación al caso concreto de la consolidada doctrina de este Tribunal en materia de subvenciones y ayudas públicas, en particular la contenida en la STC 13/1992. Así, lo discutido resulta ser la concurrencia de las circunstancias excepcionales previstas en la doctrina constitucional (en concreto, en el fundamento jurídico 8 de la STC 13/1992, de 6 de febrero) para que resulte justificada la regulación completa de las subvenciones y la centralización de la gestión que se contienen en la orden objeto de conflicto. De hecho, el debate trabado entre las partes, una vez encuadradas las ayudas controvertidas en la materia asistencia social, se reconduce a la determinación de qué supuesto de los cuatro que nuestra doctrina sistematizó en la STC 13/1992 resulta de aplicación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la Generalitat parece entender que nos encontramos en el denominado primer supuesto, recogido en el fundamento jurídico 8 a) de aquélla, pues considera que el papel del Estado en materia de asistencia social debería agotarse al trazar prioridades en la ley de presupuestos, territorializando en la propia ley los recursos empleados. Recordemos que el primer supuesto recogido en el fundamento jurídico 8 a) de la STC 13/1992 determina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primer supuesto se produce cuando la Comunidad Autónoma ostenta una competencia exclusiva sobre una determinada materia y el Estado no invoca título competencial alguno, genérico o específico, sobre la misma. El Estado puede, desde luego, decidir asignar parte de sus fondos presupuestarios a esas materias o sectores. Pero, de una parte, la determinación del destino de las partidas presupuestarias correspondientes no puede hacerse sino de manera genérica o global, por sectores o subsectores enteros de actividad. Por otra parte,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al encuadrar las ayudas en la competencia recogida en el art. 149.1.15 CE sobre fomento y coordinación de la investigación científica y técnica considera que resulta procedente la aplicación a las ayudas previstas de la doctrina recaída en el fundamento jurídico 8 d) de la misma Sentencia 13/1992, en el que dijimos que la gestión centralizada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 sólo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pronunciarnos ahora sobre cuál de estos dos supuestos —a) o d)— le es de aplicación a la orden objeto de conflicto en razón a sus características. Y precisamente en razón de éstas, confirmamos que las subvenciones contenidas en la Orden TAS/1948/2005 se incluyen en el primer supuesto recogido en el fundamento jurídico 8 a) de la STC 13/1992. En efecto, al no poder justificarse la acción del Estado en título competencial estatal alguno, ni genérico ni específico, tal como hemos argumentado en el fundamento jurídico 2 de la presente Sentencia, no se cumple la premisa exigida por el cuarto supuesto de la STC 13/1992, FJ 8 d), para justificar la gestión centralizada —que el Estado ostente algún título competencial, genérico o específico, sobre la materia—, por lo que no es necesario entrar a examinar si se dan las otras circunstancias excepcionales que exige aquel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base precedente debemos proceder al examen de los distintos preceptos de la orden objeto de conflicto, recordando que, tratándose de ayudas en materia de asistencia social, al Estado le corresponde “la regulación de los aspectos centrales del régimen subvencional —objeto y finalidad de las ayudas, modalidad técnica de las mismas, beneficiarios y requisitos esenciales de acceso—”, mientras que a las Comunidades Autónomas les corresponde “lo atinente a su gestión, esto es, la tramitación, resolución y pago de las subvenciones, así como la regulación del procedimiento correspondiente a todos estos aspectos” (SSTC 178/2011, FJ 7; 36/2012, FJ 8; 72/2012, FJ 4; 73/2012, FJ 4; 77/2012, FJ 4; 173/2012, FJ 7; y 177/2012,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es inconstitucional en relación con la convocatoria de concesión de subvenciones para el año 2005, mientras que no es inconstitucional el establecimiento de las bases reguladoras de dicha concesión en la medida en que no rebasen los aspectos centrales del régimen subvencional, en los términos que resultan del examen subsiguiente de los demás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 no infringe las competencias autonómicas en cuanto determina la financiación de las subvenciones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 no infringe las competencias autonómicas en cuanto caracteriza de manera general el procedimiento de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4 que regula los requisitos generales que deben satisfacer las entidades y organizaciones solicitantes de ayuda, tampoco vulnera las competencias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arts. 5, 6 y 7 conculcan las competencias autonómicas al referirse, respectivamente, al lugar y plazo de presentación de solicitudes —art. 5—, a la presupuestación de los programas presentados —art. 6— a los órganos estatales competentes para la ordenación, instrucción y resolución del procedimiento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8, que contiene los criterios que han de ser valorados para la adjudicación de las mismas, tampoco infringe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arts. 9, 10, 11, 12, 13, 14, 15, 16 y 17 regulan todos ellos aspectos exclusivamente atinentes a la tramitación, resolución, pago, control, responsabilidad y reintegros de las ayudas, que son de competencia autonómica y, por ello, vulneran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adicional única, no vulnera las competencias autonómicas al remitirse de modo genérico a la Ley 38/2003, de 17 de noviembre, general de subvenciones, al Real Decreto 2225/1993, de 17 de diciembre, por el que se aprueba el Reglamento del procedimiento para la concesión de subvenciones públicas, y a la Ley 30/1992, de 26 de noviembre, de régimen jurídico de las Administraciones públicas y del procedimiento administrativo común, pues dicha remisión genérica no altera la eficacia que tengan las normas señaladas sobre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disposición final segunda regula la entrada en vigor de la norma y por ello no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Como consecuencia de lo declarado anteriormente, la vulneración de las competencias de la Comunidad Autónoma de Cataluña se extiende también a los anexos I, II y III de la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Antes de pronunciar nuestro fallo debemos concretar el alcance de la vulneración de competencias en que incurre la orden objeto del presente conflicto. Dicha orden ha agotado ya sus efectos y a su amparo se han producido situaciones jurídicas consolidadas, que podrían verse menoscabadas por la estimación del presente conflicto de competencia. Siguiendo la doctrina de este Tribunal referida a supuestos similares (por todas, STC 36/2012, de 15 de marzo, FJ 12), la afectación de situaciones ya consolidadas se evita mediante la mera declaración de la titularidad de la competencia controvertida. Por tanto, la pretensión del Gobierno de la Generalidad de Cataluña ha de estimarse satisfecha mediante el presente reconocimiento de su titularidad en la materia objeto de este conflicto, en los términos que se vienen fundamentando y que se concretan en el consiguiente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conflicto positivo de competencia y declarar, con los efectos previstos en el fundamento jurídico 6 de la presente Sentencia, que vulneran las competencias de la Generalidad de Cataluña los siguientes preceptos de la Orden TAS/1948/2005, de 8 de junio, por la que se establecen las bases reguladoras y se convoca para el año 2005 la concesión de subvenciones para el desarrollo de proyectos de innovación en los servicios sociales: arts. 1, en el inciso “y se convoca para el año 2005 la concesión de subvenciones”; 5, 6, 7, 9, 10, 11, 12, 13, 14, 15, 16 y 17 y los anexos I, II y III de la orden referida por vulnerar las competencias de la Generalitat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conflicto positivo de competencia núm. 7046-2005, al que se adhiere el Magistrado don Luis Ignacio Ortega Álvarez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del Pleno, expreso mi discrepancia con el fallo y la fundamentación jurídica de la Sentencia, que estima parcialmente el conflicto de competencia planteado.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plenamente el encuadramiento competencial de las subvenciones en la materia de asistencia social que efectúa la Sentencia en su fundamento jurídico 2, pero discrepo de las consecuencias jurídicas que se consideran aplicables al referido encuadramiento competencial, en tanto que desdibujan la delimitación establecida originariamente en la fundamental STC 13/1992 respecto al supuesto que concurre en el presente caso. Tal como manifesté en la deliberación, considero necesario retomar en sus términos genuinos la jurisprudencia sentada en aquella Sentencia para la interpretación de los cuatro supuestos recogidos en ella, y reconducir a tales parámetros la reciente tendencia que, como en la presente Sentencia de la que discrepo, aboca a un recorte significativo de la capacidad autonómica para regular las subvenciones otorgadas con cargo a fondos estatales que se proyectan sobre materias de competencia autonómica exclusiva.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afirmé en el Voto concurrente formulado a la STC 36/2012, “[C]reo necesario subrayar la importancia de nuestra STC 13/1992 para la sistematización y la ordenación de la doctrina constitucional sobre la articulación de las relaciones entre la potestad estatal de gasto subvencional y las competencias que las Comunidades Autónomas disponen en muy diversas materias. Aquella Sentencia, apoyada en una extensa fundamentación jurídica, estaba animada por una evidente intención sistematizadora, y, en la práctica, ha operado hasta la fecha como la referencia central de la doctrina constitucional en materia de regulación y gestión de subvenciones estatales en el marco del Estado autonómico. En ella quedaron establecidos con claridad determinados parámetros razonables y transparentes de delimitación de la actuación al respecto tanto para el Estado como para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propia Sentencia con respecto a la cual formulo el presente Voto particular se reconoce que “[e]n la STC 13/1992 este Tribunal estableció un esquema de delimitación competencial entre el Estado y las Comunidades Autónomas en cuanto al ejercicio de la potestad subvencional de gasto público, resumido en cuatro supuestos generales que, pese al carácter abierto del esquema en el que se insertan, continúan siendo referente constante de nuestra doctrina posterior y de las alegaciones de las partes en los procesos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de la STC 13/1992 aplicable al presente caso, recogida en el apartado a) del fundamento jurídico 8, se puede resumir de la siguiente forma: cuando el Estado decide destinar unos fondos al otorgamiento de subvenciones en una materia que pertenece a la competencia exclusiva de las Comunidades Autónomas, careciendo tanto de título específico como de título transversal que le faculte para regular tales subvenciones, debe respetar aquella concreta competencia autonómica reconocida como exclusiva, y, en consecuencia, debe limitarse a consignar el destino de los fondos en los presupuestos generales del Estado, y a territorializar las correspondientes partidas presupuestarias. De manera que los demás aspectos relativos a las subvenciones en cuestión sean objeto de regulación y gestión íntegramente por las Comunidades Autónomas. Esta fue la articulación sentada en nuestra STC 13/1992 respecto a la potestad subvencional de gasto público del Estado, por un lado, y la competencia material exclusiva de las Comunidades Autónomas, por otro.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la STC 178/2011, de 8 de noviembre, FJ 7, se introdujo implícitamente una modulación de la interpretación —hasta entonces incuestionada— que puede considerarse una revisión tácita de la doctrina fijada en la referida STC 13/1992. Esta modulación conduce a que en los supuestos previstos en el apartado a) del fundamento jurídico 8 de aquélla se establezca, y ésta es la novedad, un reparto de la competencia normativa sobre las subvenciones que se otorguen con cargo a fondos estatales, a pesar de que las Comunidades Autónomas ostenten en la materia competencias exclusivas y de que el Estado carezca de competencia alguna, ni específica ni transversal. Según tal variante interpretativa, hemos dicho en la STC 178/2011 que “consideraremos incluida en la esfera de la competencia estatal la regulación de los aspectos centrales del régimen subvencional —objeto y finalidad de las ayudas, modalidad técnica de las mismas, beneficiarios y requisitos esenciales de acceso—”.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nuevo entendimiento, por un lado, contradice frontalmente el principio consagrado por nuestra jurisprudencia que afirma que el ejercicio de la potestad subvencional de gasto público del Estado no altera la distribución competencial entre el Estado y las Comunidades Autónomas. Y, por otro lado, relativiza la diferencia fundamental que supone ostentar la titularidad de una competencia, o carecer de ella en la materia de que se trate, circunstancia determinante a partir de la cual en la STC 13/1992 quedaron estructurados los cuatro supuestos generales claramente sistematizados en su fundamento jurídico 8, con explícita contemplación de las consecuencias jurídicas respectivas aplicables a cada uno de los supuestos.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referido sesgo interpretativo ha empezado a ser aplicado recientemente en otros conflictos de competencia relativos a normas estatales de convocatoria de subvenciones en materias de asistencia social: primero, en la STC 36/2012, de 15 de marzo, FJ 8, del Pleno, y posteriormente, en cinco Sentencias de Sala (SSTC 72/2012, de 16 de abril, FJ 4; 73/2012, de 16 de abril, FJ 4; 77/2012, de 16 de abril, FJ 4; 173/2012, de 15 de octubre, FJ 7; y 177/2012, de 15 de octubre, FJ 7) con exigua o nula explicación o referencia a la STC 178/2011 que inició el cambio de orientación.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preocupante la carencia de la imprescindible fundamentación jurídica que pueda explicar este inicio de cambio de orientación, que apunta a una rectificación parcial de la doctrina sentada en la STC 13/1992. De la lectura de las referidas Sentencias puede concluirse con claridad la ausencia de fundamentación jurídica que pueda justificar la necesidad de este nuevo entendimiento. La revisión de una doctrina tan importante como ha sido en la práctica la establecida en la STC 13/1992 requiere la aportación de argumentos suficientes, que no se vislumbran en los fundamentos jurídicos de las recientes resoluciones.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lo que me lleva en última instancia a formular el presente Voto particular es la preocupación por la tendencia expansiva que parece acompañar a esa modulación interpretativa. Debe hacerse notar que la fundamentación y el fallo de la STC 36/2012 se encuentran estrictamente ceñidos a las circunstancias concretas del caso, que trataba de la renta básica de emancipación de los jóvenes regulada por el Real Decreto 1472/2007, de 2 de noviembre. El Pleno del Tribunal debatió ampliamente sobre el encuadramiento competencial de dicha ayuda, lo que explica el esfuerzo interpretativo que condujo a que las ayudas fueran encuadradas en la materia de asistencia social, modificando explícitamente el criterio de la Sala Segunda sentado en la STC 129/2010, de 29 de noviembre (FFJJ 3 y 5); pero en aquel caso, en lugar de estimar en su totalidad el conflicto planteado, se entendió por la mayoría del Pleno que el Estado podía regular los aspectos centrales de las ayudas. Ese entendimiento, explicable por las peculiaridades de la ayuda en cuestión (una renta otorgada directamente a los jóvenes para el acceso a una vivienda en régimen de alquiler) y por la circunstancia de la revisión del encuadramiento competencial acogido con anterioridad, parece proyectarse ahora indiscriminadamente, sin ulterior explicación particular, sobre cualquier ayuda en materia de asistencia social, más allá del supuesto peculiar enjuiciado en la STC 36/2012 y sobre el que también versaron las posteriores SSTC 72/2012, 73/2012, y 77/2012, todas de 16 de abril. Lo cual se pone de manifiesto tanto en las SSTC 173/2012 y 177/2012, ambas de 15 de octubre, como en las dos Sentencias que el Pleno ha aprobado con fecha de 29 de noviembre de 2012 en relación con los conflictos positivos de competencia núms. 7046-2005 y 1908-2006. En efecto, estas cuatro Sentencias enjuician órdenes ministeriales que establecen las bases reguladoras y convocan subvenciones en materia de asistencia social cuyos beneficiarios son el movimiento asociativo y fundacional que trabaja en el ámbito de la exclusión social, los servicios sociales o los municipios y mancomunidades.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Cabe resaltar que aunque en los diversos conflictos mencionados en este Voto particular se reconoce sistemáticamente que el Estado no tiene competencia para convocar y otorgar las concretas ayudas reguladas, nuestros fallos se limitan a declarar la inconstitucionalidad de las disposiciones incluidas en las normas estatales objeto de conflicto que exceden de los aspectos centrales del régimen subvencional, cuando lo que estrictamente procedería es la declaración de nulidad de las normas estatales en su totalidad, en cuanto que los “actos que originaron el conflicto” están “viciados de incompetencia” (art. 66 LOTC). De la misma manera, en la presente Sentencia, en aplicación estricta y congruente de la doctrina formulada en el apartado a) del fundamento jurídico 8 de la STC 13/1992, el presente conflicto positivo de competencia debió ser estimado íntegramente.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