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la Sección Tercera de la Audiencia Provincial de Barcelona de 4 de febrero de 2010, dictada en el procedimiento abreviado núm. 21-2009, exclusivamente en lo relativo a las penas privativa de libertad de prisión de tres años y seis meses y accesoria de inhabilitación especial para el ejercicio del derecho de sufragio pasivo durante el tiempo de la condena impuesta a don Adam Ujidos López.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febrero de 2012, la Procuradora de los Tribunales doña Rosalía Rosique Samper, en nombre y representación de don Adam Ujidos López, y bajo la dirección de la Letrada doña Marta Clapés Cascón, interpuso recurso de amparo contra el Auto de la Sala Segunda del Tribunal Supremo de 25 de enero de 2012, por el que se inadmite el incidente de nulidad de actuaciones interpuesto contra la Sentencia de 17 de noviembre de 2011, por la que se desestima el recurso de casación núm. 2078-2010, interpuesto contra la Sentencia de la Sección Tercera de la Audiencia Provincial de Barcelona de 4 de febrero de 2010, dictada en procedimiento abreviado núm. 21-2009, por la que se condena, entre otros, al recurrente como autor de un delito contra la salud pública a las penas principales de prisión de tres años y seis meses y dos multa con responsabilidad personal subsidiaria en caso de impago; y a la pena accesoria de inhabilitación especial para el ejercicio del derecho de sufragio pasivo durante el tiempo de la condena, además del pago proporcional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 Sentencia impugnada en cuanto a la pena privativa de libertad y la accesoria de inhabilitación, al entender que su ejecución puede producir un perjuicio que haga perder al amparo su finalidad y que dicha suspensión no ocasiona una perturbación a un interés constitucionalmente protegido ni a los derechos o libertades de otras personas, destacando que no hay ninguna víctima individual del delito y que no hay riesgo de fuga al haber estado el recurrente en todo momento a disposición de los órganos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18 de octubre de 2012,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31 de octubre de 2012, presentó alegaciones en las que, enunciando la jurisprudencia de este Tribunal sobre el particular, interesó la suspensión de la pena privativa de libertad y de su accesoria de inhabilitación especial, argumentando que si se compara la duración de la pena privativa de libertad impuesta, que es de prisión de tres años y seis meses, con el tiempo que normalmente se consume en la tramitación de un recurso de amparo, la denegación de la suspensión causaría a la recurrente un perjuicio irreparable, debiendo extenderse a la pena de inhabilitación por su carácter accesorio.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no ha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De ello se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un interés constitucionalmente protegido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ATC 30/2011, de 28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en concreto, y por lo que se refiere a las penas de privación de libertad, se ha reiterado que procederá, en principio, acordar su suspensión al afectar a un bien de imposible o muy difícil restitución a su estado anterior, si bien se ha destacado que este criterio general tampoco es absoluto, ya que en estos supuestos deben también ponderarse otras circunstancias relevantes, significativamente la duración y gravedad de la pena impuesta porque en ella se expresa la reprobación que el ordenamiento asigna al hecho delictivo y, por consiguiente, la magnitud del interés general en su ejecución. Del mismo modo, este Tribunal también ha reiterado que la suspensión de la pena privativa de libertad debe conllevar la suspensión de las penas accesorias de inhabilitación que lleve aparejada (por todos, ATC 58/2012, de 26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recurrente solicita la suspensión de la Sentencia impugnada exclusivamente en relación con la pena de prisión de tres años y seis meses, y su accesoria de inhabilitación especial para el ejercicio del derecho de sufragio pasivo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y conforme también interesa el Ministerio Fiscal, debe acordarse la suspensión de la pena privativa de libertad y su accesoria de inhabilitación especial impuestas al recurrente, ya que, atendidas todas las circunstancias concurrentes en el caso, de un lado, su ejecución puede ocasionar al recurrente perjuicios irreparables que harían perder al amparo su finalidad, tanto por afectar al valor fundamental de la libertad como porque si se compara la duración de tales penas —tres años y seis meses— con el tiempo que requiere la tramitación de un proceso de amparo como el presente, ha de concluirse que la no suspensión de su ejecución ocasionaría un perjuicio irreparable que privaría, al menos en parte, de eficacia a un eventual fallo estimatorio. Y, de otro, porque el acceder a la suspensión pretendida no ocasiona una lesión específica y grave de un interés constitucionalmente protegido —más allá de aquél que de por sí produce la no ejecución de un fallo judicial—, ni de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la Sección Tercera de la Audiencia Provincial de Barcelona de 4 de febrero de 2010, dictada en el procedimiento abreviado núm. 21-2009, exclusivamente en lo relativo a las penas privativa de libertad de prisión de tres años y seis meses y accesoria de inhabilitación especial para el ejercicio del derecho de sufragio pasivo durante el tiempo de la condena impuesta a don Adam Ujidos López.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