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7189-2009, promovido por don Ignacio Mendiburu Iturrain, representado por el Procurador de los Tribunales don Javier Cuevas Rivas y asistido por la Abogada doña Onintza Ostolaza Arruabarena, contra el Auto de 26 de mayo de 2009, de la Sección Primera de la Sala de lo Penal de la Audiencia Nacional, dictado en la ejecutoria núm. 58-1984, dimanante del rollo de Sala núm. 58-1984, sumario núm. 58-1984 del Juzgado Central de Instrucción núm. 1, por el que se acuerda fijar como fecha de licenciamiento definitivo de las penas que cumple el recurrente el día 10 de junio de 2014, y contra el Auto de 24 de junio de 2009, que desestimó el recurso de súplica presentado frente a dicha resolución.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2009, el Procurador de los Tribunales don Javier Cuevas Rivas, en nombre y representación de don Ignacio Mendiburu Iturrain, y bajo la dirección de la Abogada doña Onintza Ostolaza Arruabarena, interpuso recurso de amparo contra las resoluciones judiciales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junto con otros, fue condenado por Sentencia firme de 12 de abril de 1986 por la Sección Primera de Sala de lo Penal de la Audiencia Nacional, conforme al Código penal (CP) de 1973, como autor de un delito de pertenencia a banda armada, a la pena de seis años y un día de prisión mayor; como autor de un delito de depósito de armas de guerra, a la misma pena; como autor de un delito de asesinato, a la pena de veintisiete años de reclusión mayor y como autor de un delito de utilización de placas de matrícula falsas, a la pena de seis meses y un día de prisión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escrito de 3 de marzo de 2009, el director del centro penitenciario de San Sebastián, en el que el recurrente se encontraba cumpliendo condena, elevó a la Sala la hoja de cálculo de las penas que extinguía con dos propuestas de licenciamiento definitivo alternativas, para el 13 de julio de 2009 o el 10 de junio de 2014, según se aplicaran o no los criterios de cómputo de redenciones establecidos por el Tribunal Supremo en la Sentencia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se dio traslado de la propuesta al Ministerio Fiscal y al penado, a fin de que informaran sobre la procedencia de la misma, mediante Auto de 26 de mayo de 2009, la Sección Primera de la Sala de lo Penal de la Audiencia Nacional acordó, a la vista de la propuesta formulada por el centro penitenciario, que, de conformidad con el criterio establecido por la citada Sentencia de la Sala de lo Penal del Tribunal Supremo, el licenciamiento definitivo del penado debería tener lugar el 10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interpuso el demandante de amparo recurso de súplica, invocando la lesión de los derechos a la libertad (art. 17.1 CE); del principio de legalidad penal (art. 25.1 CE), en relación con los principios de seguridad jurídica e irretroactividad de las disposiciones sancionadoras desfavorables (art. 9.3 CE); y asimismo la vulneración del derecho a la tutela judicial efectiva en la vertiente de intangibilidad de las resoluciones judiciales firmes (art. 24.1 CE) y la vulneración del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de súplica fue desestimado por Auto de 24 de junio de 2009 en el que se rechazó que la aplicación al caso del criterio sentado por la citada Sentencia de la Sala de lo Penal del Tribunal Supremo núm. 197/2006 hubiera ocasionado vulneración alguna de los derechos fundamentales invocados por el recurrente. El penado solicitó la nulidad de la citada decisión, y la petición fue inadmitida a trámite por Auto de 30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justificar la especial trascendencia constitucional del recurso en la necesidad de un pronunciamiento del Tribunal Constitucional sobre una cuestión entonces novedosa en su jurisprudencia, como lo era la doctrina de la Sala de lo Penal del Tribunal Supremo fijada en el denominado “caso Henri Parot”, estimando que trasciende al caso concreto y afecta a numerosos penados que se hallan cumpliendo diversas penas acumuladas a cuyo cumplimiento se ha fijado un límite máximo, el recurrente fundamenta su demanda de amparo en los ocho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y a un proceso con todas las garantías (art. 24.2 CE), así como de los derechos reconocidos por los arts. 6 y 13 del Convenio europeo para la protección de los derechos humanos y de las libertades fundamentales (CEDH) y por el art. 14.5 del Pacto internacional de derechos civiles y políticos (PIDCP). Sostiene el recurrente que la Audiencia Nacional acordó en las resoluciones impugnadas la aplicación en su caso de la nueva doctrina de la Sala de lo Penal del Tribunal Supremo que establece un nuevo criterio en cuanto al cómputo de las redenciones por trabajo, que desde entonces pasa a hacerse sobre cada pena acumulada en vez de sobre el límite máximo resultante de la refundición, como se venía haciendo hasta dicha resolución. Considera que su caso es distinto, pues la aplicación del nuevo criterio no se hace al refundir las condenas sino al pronunciarse sobre la propuesta de licenciamiento definitivo formulada por el centro penitenciario, por lo que se desconocen los criterios anteriores utilizados en la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motivo de amparo segundo se aduce la vulneración del principio de legalidad penal (art. 25.1 CE, en conexión con el art. 9.3 CE), por la interpretación realizada por la Audiencia Nacional de los arts. 70.2 y 100 CP 1973 y los arts. 66 del Reglamento de prisiones de 1956 y 202 del Reglamento penitenciario vigente. Según el recurrente, la interpretación sentada por la Sala de lo Penal del Tribunal Supremo en su Sentencia núm. 197/2006 y aplicada en el presente caso por la Audiencia Nacional en las resoluciones judiciales impugnadas, es ajena al tenor literal de dichas normas, a las pautas axiológicas que conforman el ordenamiento constitucional y a los modelos de argumentación aceptados por la comunidad jurídica, y quiebra la interpretación jurisprudencial del art. 100 CP 1973 realizada al respecto a lo largo de toda la historia penitenciaria, conforme a la cual la redención de penas por el trabajo se ha de abonar para el cumplimiento de la pena impuesta, de manera que el tiempo de redención es tiempo de cumplimiento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motivos de amparo tercero y cuarto denuncia el recurrente la vulneración del derecho a la tutela judicial efectiva en cuanto garantiza la intangibilidad de las resoluciones judiciales firmes (art. 24.1 CE), en relación con el derecho a la libertad (art. 17.1 CE) y los principios de legalidad y seguridad jurídica (art. 9.3 CE). Sostiene el demandante que el nuevo criterio sobre el cómputo de las redenciones sobre la totalidad de la condena que realiza la Sala de lo Penal del Tribunal Supremo, aplicado a su caso por la Audiencia Nacional en las resoluciones impugnadas en amparo, supone desconocer lo resuelto en su caso con carácter firme en la providencia de 30 de julio de 1996 que fijó en treinta años el límite máximo de cumplimiento, conforme al art. 70.2 CP 1973, duración ésta que ha de ser el referente para el cómputo de las redenciones. De la misma manera, entiende que la aplicación de las redenciones de penas por el trabajo que a lo largo de los años fueron aprobadas por los Juzgados de vigilancia penitenciaria quedan de hecho sin contenido si no se descuentan del límite máximo de cumplimiento de treinta años; acortamiento de su condena que venía haciéndose conforme a una constante interpretación jurisprudencial de las normas legales que no puede ser alterado en su perjuicio, retrasando la fecha de puesta en libertad —que debió producirse el 13 de junio de 2009—, por la aplicación de un nuevo criterio jurisprudencial desfavorable al penado que atenta contra la intangibilidad de las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quinto motivo de amparo se alega la vulneración del principio de legalidad penal (art. 25.1 CE), en relación con los principios de seguridad jurídica e irretroactividad de las normas sancionadoras no favorables o restrictivas de derechos individuales (art. 9.3 CE) y con los derechos reconocidos por los arts. 7 CEDH y 15 PIDCP. A juicio del recurrente, las resoluciones judiciales impugnadas conllevan una aplicación retroactiva (tácita) de una norma penal limitativa de derechos dictada en 2003 (la Ley Orgánica 7/2003, de 30 de junio, de medidas de reforma para el cumplimiento íntegro y efectivo de las penas, que dio nueva redacción al art. 78 CP 1995) a unos hechos cometidos antes de 1995, esto es, antes de la publicación del vigente Código penal, que fueron juzgados por sentencias declaradas firmes bajo la vigencia del CP 1973, en ninguna de las cuales se había establecido ningún límite a los beneficios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igualdad en la aplicación de la ley (art. 14 CE), en relación con el art. 14 CEDH, porque las resoluciones judiciales impugnadas incurren en un injustificado y arbitrario cambio de criterio al aplicar al caso la doctrina de la Sentencia de la Sala de lo Penal del Tribunal Supremo núm. 197/2006, que se aparta de forma arbitraria e irrazonable de su consolidado criterio jurisprudencial precedente sobre el cómputo de la redención de penas por el trabajo, en un momento en el que el CP 1973 ya está derogado y resulta aplicable a un número muy limitado de internos, sin que existan razones que justifiquen dicho cambio de criterio. Se afirma que se trata de un cambio de criterio ad personam, constitucionalmente vedado, del que resulta que al recurrente se le deniega de manera discriminatoria lo que a otros muchos presos ya se les concedió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séptimo motivo de amparo se alega la vulneración del derecho a la libertad personal (art. 17.1 CE), en relación con los arts. 5 y 7.1 CEDH y los arts. 9.1 y 5 y 15.1 PIDCP. Tras resaltar que, conforme a la doctrina constitucional, la redención de penas por el trabajo afecta al derecho a la libertad personal, sostiene el recurrente, con cita del Voto particular conjunto formulado por varios magistrados a la Sentencia de la Sala de lo Penal del Tribunal Supremo núm. 197/2006, que el cambio de criterio jurisprudencial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la lesión del principio que garantiza la orientación de las penas privativas de libertad a la reeducación y reinserción social (art. 25.2 CE), en relación con las Reglas mínimas para tratamiento de los reclusos elaboradas en el primer Congreso de las Naciones Unidas sobre prevención del delito y tratamiento del delincuente (Ginebra, 1955), y del Pacto internacional de derechos civiles y políticos. Entiende que el art. 70.2 CP 1973 estaba inspirado en un humanismo penal contrario a la ejecución de reclusiones excesivamente prolongadas. El trabajo penitenciario, y las redenciones ordinarias y extraordinarias persiguen una finalidad resocializadora. La interpretación adoptada por los Autos impugnados dejaría sin efecto estas previsiones, a juicio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otorgamiento del amparo, solicitando por otrosí en la demanda la suspensión de la ejecución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marzo de 2012, la Sala Primera de este Tribunal acordó la admisión a trámite de la demanda de amparo y, a tenor de lo dispuesto en el art. 51 de la Ley Orgánica del Tribunal Constitucional (LOTC), requerir atentamente a la Sección Primera de la Sala de lo Penal de la Audiencia Nacional para que en el plazo no superior a diez días remitiera testimonio de las actuaciones correspondientes a la ejecutoria núm. 58-1984, rollo de Sala con idéntico número, interesándose al propio tiempo el emplazamiento de quienes fueron parte en el procedimiento, a excepción del recurrente, ya personado,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Sala acordó la formación de pieza separada para la tramitación del incidente sobre la suspensión solicitada, concediendo al recurrente y al Ministerio Fiscal un plazo común de tres días para que alegasen lo que estimasen pertinente sobre dicha suspensión. Evacuado dicho trámite de alegaciones, la Sala desestimó la solicitud de suspensión mediante Auto de 7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4 de julio de 2012, se tuvieron por recibidos los testimonios de las actuaciones en soporte informático remitidos por el servicio común de ejecutorias de la Sala de lo Penal de la Audiencia Nacional y se procedió, conforme a lo establecido en el art. 52 LOTC, a dar traslado en copia en disco compacto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en este Tribunal el 7 de septiembre de 2012, en el que reiteró las formuladas en la demanda de amparo, poniendo de manifiesto que el Tribunal Europeo de Derechos Humanos acababa de dictar Sentencia de 10 de julio de 2012 en un caso similar (asunto Del Rio Prada contra España) en la que declaraba que la fijación y aplicación jurisprudencial del criterio de cómputo de redenciones cuestionado en la demanda de amparo era contrario a los arts. 5 y 7 CEDH, en cuanto garantizan el derecho a la seguridad y libertad y el principio de legalidad de las infracciones y penas. En su opinión, dicho criterio debe marcar el análisis de la presente cuestión dado que es contrario a los derechos invocados la aplicación retroactiva de la jurisprudencia indicada por ser desfavorable a sus intereses y llevar aparejado un alargamiento material de la pena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se le dio traslado del testimonio completo de las actuaciones, el Ministerio Fiscal presentó en este Tribunal su escrito de alegaciones el 23 de noviembre de 2012. Considera en primer lugar el Fiscal que la Sentencia del Tribunal Europeo de Derechos Humanos de 10 de julio de 2012, asunto Del Río Prada c. España, no afecta en este momento al presente caso, toda vez que dicha Sentencia no tiene carácter definitivo, de conformidad con lo previsto en el art. 44.2 CEDH, al ser susceptible de revisión por la Gran Sala a solicitud de parte en el plazo de tres meses, debiendo estarse entre tanto a la doctrina sentada por el Tribunal Constitucional en casos semejantes al presente desde la STC 39/2012, de 29 de marzo, hasta la reciente STC 152/2012,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Fiscal sostiene que, como ya se apreciara en casos similares al presente en las SSTC 58/2012, 60/2012 y 63/2012, de 29 de marzo todas ellas, así como en las STC 128/2012, de 18 de junio, 157/2012, de 17 de septiembre y 179/2012, de 15 de octubre, concurre el óbice procesal consistente en la falta de agotamiento de la vía judicial [art. 44.1 a) LOTC, en relación con el art. 50.1 a) LOTC], lo que debe determinar la inadmisión del recurso de amparo, toda vez que el demandante no recurrió en casación (art. 988 de la Ley de enjuiciamiento criminal) contra el Auto de la Sección Primera de la Sala de lo Penal de la Audiencia Nacional de 24 de junio de 2009, que desestimó el recurso de súplica interpuesto contra la anterior resolución de 26 de mayo que aprobó la propuesta de licenciamiento definitivo del demandante para el 10 de junio de 2014. A lo que se ha de sumar que el demandante interpuso una solicitud de nulidad de actuaciones improcedente, que fue inadmitida a trámite, y que, aunque no alargó el plazo para demandar el amparo, no consta en las actuaciones que le fuera notificada antes de solicitar el amparo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en el que no fuera apreciada la concurrencia de la causa de inadmisión señalada, el Fiscal interesa la denegación del amparo, por entender que las resoluciones impugnadas no infringen los derechos fundamentales invocados en la demanda, conforme a los razonamientos de la doctrina fijada por el Pleno en la STC 39/2012.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motivos de la demanda que se refieren a la cuestión de fondo, y que se centran en combatir la aplicación que han hecho las resoluciones impugnadas de la doctrina establecida en la Sentencia de la Sala de lo Penal del Tribunal Supremo núm. 197/2006, señala el Fiscal que también estas quejas deben ser descartadas, a la vista de la ya referida doctrina constitucional. Trasladándola al presente caso, y en particular por lo que se refiere a la alegada lesión del derecho a la tutela judicial efectiva en la vertiente del derecho a la intangibilidad de las resoluciones firmes, señala el Fiscal que el pretendido efecto de intangibilidad, en cuanto al criterio de cómputo de las redenciones por trabajo, no puede predicarse de ninguna decisión adoptada en la ejecutoria, pues en ella no se ha dictado resolución alguna que contenga criterio de cómputo de los beneficios penitenciarios de redención del art. 100 CP 1973. No se infringe, por tanto, el principio de intangibilidad por las resoluciones judiciales impugnadas en amparo, que, acogiendo el criterio establecido en la Sentencia de la Sala de lo Penal del Tribunal Supremo núm. 197/2006, aprueban el licenciamiento definitivo del recurrente para el 10 de junio de 2014, puesto que tales resoluciones no revisan ninguna situación jurídica establecida en una anterior resolución firme sobre el cómputo y aplicación de los beneficios de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en relación con el resto de motivos, y singularmente del que afirma la vulneración del art. 25.2 CE, propone su desestimación con cita de los argumentos expuestos en la STC 114/2012,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febrero de 2013 se acordó señalar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24 de junio de 2009 de la Sección Primera de la Sala de lo Penal de la Audiencia Nacional, que desestimó el recurso de súplica presentado contra el anterior Auto de 26 de mayo por el que se acordó fijar el día 10 de junio de 2014 como fecha para el licenciamiento definitivo de las penas privativas de libertad que cumple el recurrente, en aplicación del criterio establecido por la Sentencia de la Sala de lo Penal del Tribunal Supremo núm. 197/2006, de 28 de febrero, según la cual, en caso de cumplimiento sucesivo de penas a las que se ha fijado un límite máximo de duración, la redención de penas por el trabajo ha de computarse sobre cada una de las penas impuestas que se cumplen sucesivamente por orden de gravedad, y no sobre el límite máximo de cumplimiento efectivo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argumentación que ha quedado expuesta en los antecedentes de esta resolución, se denuncia en la demanda de amparo la supuesta vulneración de los derechos fundamentales a la tutela judicial efectiva sin indefensión (art. 24.1 CE) y a la defensa (art. 24.2 CE); a la legalidad penal (art. 25.1 CE), en conexión con los principios del art. 9.3 CE; a la tutela judicial efectiva en la vertiente de intangibilidad de las resoluciones judiciales firmes (art. 24.1 CE), en relación con los principios de legalidad y seguridad jurídica (art. 9.3 CE); a la igualdad en la aplicación de la ley (art. 14 CE); así como la vulneración del principio de orientación de las penas privativas de libertad a la reeducación y reinserción social (art. 25.2 CE); todo ello en relación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con carácter principal la inadmisión del recurso de amparo ex arts. 44.1 a) y 50.1 a) de la Ley Orgánica del Tribunal Constitucional (LOTC), por considerar incumplido el requisito procesal que exige el previo agotamiento de la vía judicial y, subsidiariamente, su desestimación, por entender que las resoluciones judiciales impugnadas no han vulnerado los derechos fundamentales invocados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tiene declarado reiteradamente,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18/2002, de 28 de enero, FJ 3; 158/2002, de 16 de septiembre, FJ 2; 69/2004, de 19 de abril, FJ 3;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presupuestos inexcusables para la admisibilidad de toda demanda de amparo se encuentra la exigencia establecida por el art. 44.1 a) LOTC de “que se hayan agotado todos los medios de impugnación previstos por las normas procesales para el caso concreto dentro de la vía judicial”.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Así, el requisito de agotar la vía judicial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la Constitución reserva a la jurisdicción ordinaria (art. 117.3 CE) y al propio tiempo para no desnaturalizar la función jurisdiccional propia de este Tribunal como intérprete supremo de la Constitución (entre otras muchas, SSTC 85/1999, de 10 de mayo, FJ 5; 211/1999, de 29 de noviembre, FJ 2; 71/2000, de 13 de marzo, FJ 3; 128/2002, de 3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las actuaciones conduce a apreciar la concurrencia del óbice aducido por el Ministerio Fiscal en su escrito de alegaciones, a la vista de lo declarado por el Pleno de este Tribunal en casos similares en las SSTC 58/2012, 60/2012 y 63/2012, todas ellas de 29 de marzo, así como en las más recientes SSTC 128/2012, de 18 de junio; 152/2012, de 16 de julio; 157/2012, de 17 de septiembre, y 179/2012, de 15 de octubre, lo que determina la inadmisión del presente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recurrente en amparo impugna el Auto de 26 de mayo de 2009 de la Sección Primera de la Sala de lo Penal de la Audiencia Nacional, por el que se aprueba su licenciamiento definitivo para el día 10 de junio de 2014, resolución que fue confirmada en súplica mediante el Auto de 24 de junio siguiente de la misma Sala y Sección, igualmente impugnado en amparo. Ahora bien, el recurrente acude directamente ante este Tribunal sin haber intentado hacer uso del recurso de casación ante la Sala de lo Penal del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1973— cabrá interponer recurso de casación por infracción de ley. Tal previsión resulta aplicable a los Autos que aprueban el licenciamiento definitivo en condenas de cumplimiento sucesivo en cuanto lo resuelto en ellos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más de un año antes de dictarse las resoluciones impugnadas en amparo mediante el Auto de la Sala de lo Penal del Tribunal Supremo de 7 de abril de 2008, dictado precisamente al resolver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abona la recurribilidad en casación de los Autos de licenciamiento definitivo en cuanto concretan y fijan definitivamente el máximo de cumplimiento respecto de las penas impuestas, fijación de criterio jurisprudencial que, tanto tiempo después, no podía ser ignorada por la representación procesal y la defensa letrada del demandante de amparo (SSTC 58/2012, FJ 3; 60/2012, FJ 3; 63/2012, FJ 3; 128/2012, FJ 3 y 152/2012, FJ 3, así como 157 y 179/2012, FJ 3).</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Ignacio Mendiburu Iturrain.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