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29 de junio de 2011 dictada por la Sección Primera de la Audiencia Provincial de Sevilla, en cuanto a la pena de cuatro años y seis meses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enero de 2012, la Procuradora de los Tribunales doña María Isabel Torres Ruíz, en nombre y representación de José María González Vidal, y bajo la dirección del Letrado don Manuel Morales Morales, interpuso recurso de amparo contra la Sentencia 29 de junio de 2011, que, dictada por la Sección Primera de la Audiencia Provincial de Sevilla, estimó el recurso de apelación interpuesto por la acusación particular y el Ministerio Fiscal, y revocó la Sentencia absolutoria de 27 de diciembre de 2010 dictada por el Juzgado de lo Penal núm. 1, condenando en segunda instancia al recurrente, hoy demandante de amparo, como cooperador necesario de un delito de robo con violencia e intimidación a una pena de cuatro años y seis meses de prisión. Asimismo se presenta contra el Auto de 2 de noviembre de 2011, dictado por la misma Sección, que declaró no haber lugar a la nulidad de actuaciones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ex art. 56.2 de la Ley Orgánica del Tribunal Constitucional (LOTC), la suspensión de la ejecución de las resoluciones judiciales o, en su caso, de la pena privativa de libertad impuesta al demandante de amparo, por cuanto podría causar un perjuicio tal que haría perder la finalidad del presente recurso de amparo, sin que dicha suspensión ocasione perturbación grave a ningún derecho constitucionalmente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31 de enero de 2013, y tras admitir el recurso por providencia fechada en el mismo día, acordó la formación de pieza separada para la tramitación del incidente sobre la suspensión solicitada: asimismo, conceder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presentó escrito de alegaciones con fecha 11 de febrero de 2013, reiterándose en la petición de suspensión solicitada. Tras recordar en él la jurisprudencia del Tribunal Constitucional, hace referencia a las circunstancias personales del recurrente que deben ser tenidas en cuenta en orden a la concesión de la suspensión: carece de antecedentes penales y ha estado en todo momento a disposición del Juzgado de Instrucción y del Juzgado de lo Penal; su desempeño profesional como vigilante de seguridad ha merecido el reconocimiento de la Jefatura Superior de Policía de Andalucía Occidental; ha sido condenado a una pena de cuatro años y seis meses de la que ya tendría cumplidos ciento cuarenta y dos días al haberse encontrado privado de libertad desde su detención el 7 de julio de 2009, hasta su puesta en libertad sin fianza el 25 de noviembre de 2009; ha cumplido rigurosamente con la obligación de presentación en el Juzgado durante la tramitación del proceso que le impuso el Auto que decretó la libertad sin fianza; y su trabajo, como vigilante de seguridad, es el único sostén de su familia. Por último, solicita que se tramite la suspensión por el trámite previsto en el art. 56.6 LOTC, dado que por Auto de 4 de febrero de 2013, el órgano judicial acordó requerir al recurrente para su ingreso voluntario en el plazo de diez días en el centro penitenciario, y ha sido citado para el día 14 de febrero de 2013, para practicarle personalmente el requerimiento al que el Auto se refiere.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15 de febrero de 2013, presentó alegaciones solicitando se acceda a la suspensión de la ejecución que ha sido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alegaciones se pone de manifiesto que si bien es cierto que es jurisprudencia constitucional reiterada que la suspensión de la ejecución de las resoluciones firmes es una medida excepcional, no lo es menos que dicha doctrina ha sido matizada por el propio Tribunal Constitucional (al respecto, se cita el ATC 44/2012, de 12 de marzo, FJ 2). A su juicio, en el presente caso, y aplicada la doctrina señalada, el Fiscal considera que debe valorarse que “los hechos delictivos por los que ha sido condenado el recurrente constituyen un delito de robo con violencia e intimidación que lesiona el derecho de propiedad” y que “[l]a pena de prisión del recurrente es de cuatro años y seis meses, de los que procederá descontar el tiempo de prisión preventiva sufrido en la causa … por lo que quedaría pendiente el cumplimiento de una pena algo inferior a cuatro años y dos meses de prisión”, siendo jurisprudencia constitucional que las penas inferiores a cinco años de prisión son susceptibles de suspensión dado el promedio de tramitación del recurso constitucional y la necesidad de garantizar el mismo (AATC 18/2011 y 44/2012). Igualmente estima que debe tenerse en consideración que la entrada en prisión haría perder al recurrente su puesto de trabajo de vigilante de seguridad y, por tanto, su medio de vida y el de su familia, así como el hecho de que haya permanecido en libertad durante la tramitación del proceso de origen. Por último, considera que el interés patrimonial de la entidad propietaria del establecimiento en el que se produjo el robo y el de sus empleados en obtener la restitución del dinero y efectos sustraídos, puede quedar garantizado con las correspondientes medidas cautelares.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1/2010, de 11 de enero, y 18/2011, de 28 de febrero,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12/2009, de 26 de enero; 112/2011, de 18 de julio).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(ATC 44/2012, de 12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como recuerdan los AATC 112/2011, de 18 de julio, FJ 1; y 44/2012, de 12 de marzo,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pues el art. 56 LOTC “responde a la necesidad de mantener un equilibrio entre los intereses del recurrente, los generales de la sociedad y los derechos de terceros (AATC 369/2005, de 24 de octubre, FJ 2; 214/2007, de 16 de abril, FJ 2; 287/2007, de 18 de junio, FJ 2; 18/2011, de 28 de febrero, FJ 2) y, deben también ponderarse, en consecuencia,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 En relación con este criterio de gravedad de la pena, este Tribunal viene aplicando como directriz inicial la de que la pena se sitúe por encima o por debajo de la frontera de los cinco años de prisión (AATC 16/2009, de 26 de enero; 18/2011, de 28 de febrero, FJ 2), que es la que le sirve al legislador penal para diferenciar entre las penas graves y las menos graves (art. 33 del Código penal: CP)” (ATC 44/2012, FJ 2), al que se ha añadido “el relativo al tiempo de cumplimiento efectivo de la pena, ya sea por haber estado en prisión preventiva o por haberse ejecutado tras ser firme la condena (ATC 221/2000), así como la trayectoria, acreditada documentalmente por el recurrente, posterior a su condena (ATC 270/2002)” (ATC 39/2004, de 9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procede la suspensión instada por el recurrente, tal y como solicita el Fiscal, pues la duración de la condena de privación de libertad recaída —cuatro años y seis meses— se halla por debajo del margen de gravedad con que, como regla general, opera este Tribunal. Además, y dada la naturaleza del delito no parece que pueda reputarse de los que causan especial alarma social, debiéndose, igualmente, tener en consideración el hecho de que el recurrente haya permanecido en libertad durante la tramitación del proceso de origen, y que de la concesión de la suspensión no se deriva perturbación grave de los intereses generales ni de los derechos fundamentales o libertades públicas de un tercero, más allá del genérico que toda inejecución de una resolución judicial comporta.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29 de junio de 2011 dictada por la Sección Primera de la Audiencia Provincial de Sevilla, en cuanto a la pena de cuatro años y seis meses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