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5598-2004, interpuesto por cincuenta Senadores del Grupo Popular del Senado en relación con el Real Decreto-ley 2/2004, de 18 de junio, por el que se modifica la Ley 10/2001, de 5 de julio, del plan hidrológico nacional. Ha comparecido y formulado alegaciones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16 de septiembre de 2004, doña María Rosa Vindel López, actuando en condición de comisionada de otros cuarenta y nueve Senadores del Grupo Popular del Senado, interpuso recurso de inconstitucionalidad frente al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en los argumentos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rector de este proceso constitucional arranca con una pormenorizada exposición de los “precedentes y elaboración del plan hidrológico nacional”, donde se presta especial atención a la tramitación parlamentaria de la Ley que lo aprobó, y se aborda un examen comparado del “contenido del plan hidrológico nacional: medidas complementarias y contenido del Real Decreto-ley”. Entrando ya en los fundamentos jurídico-materiales del recurso, se realizan unas “consideraciones previas” relativas a la “naturaleza jurídica del Plan Hidrológico Nacional”, que concluye con la afirmación de que este “no es sólo un ‘plan de planes’, sino una auténtica norma normarum en el ordenamiento hidrológico, una norma estructurante de dicho ordenamiento y no una mera suma de medidas sujetas a aprobación por ley formal”; a la “elaboración y contenido del Real Decreto-ley impugnado”, que crea una apariencia de nuevos proyectos “totalmente falsa”, lo que evidenciaría, a juicio de los recurrentes, que las actuaciones no justifican el decreto-ley; y al “alcance del control de constitucionalidad de los reales decretos-leyes”, donde se sistematizan algunos pronunciamientos al respecto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del recurso se aduce la “inexistencia de la extraordinaria y urgente necesidad imprescindible en todo decreto-ley”, pues no había una situación que reclamara una acción legislativa inmediata ni una circunstancia objetiva que impidiese acudir al procedimiento legislativo ordinario. En opinión de los Senadores recurrentes, “ni a través del Decreto-ley, ni de su exposición de motivos, ni del debate parlamentario de la convalidación o del expediente de elaboración, se encuentra justificación alguna de la extraordinaria y urgente necesidad.” Los recurrentes rechazan, en particular, las críticas que se contienen en el preámbulo del Real Decreto-ley 2/2004 respecto de las repercusiones ambientales del trasvase de aguas de la cuenca del Ebro a otras cuencas deficitarias y controvierten, igualmente, las consideraciones vertidas en esa misma parte expositiva de la norma de urgencia respecto de los “aspectos técnicos” del trasvase. Para los Senadores recurrentes, no era urgente la derogación del trasvase porque el plan hidrológico nacional lo había configurado como simple autorización para actuar, sin obligación de hacerlo, ni plazo para ello; no había urgencia económica porque podía acudirse al desistimiento o suspensión de los contratos administrativos adjudicados; la urgencia no puede ampararse, tampoco, en un “plan alternativo” que ya estaba previsto en la Ley 10/2001, de 5 de julio, aprobatoria del plan hidrológico nacional, ni en la pretendida mejor utilización del recurso hídrico que garantizaría el Decreto-ley, extremo que, en todo caso, discuten. Denuncian, igualmente, que falta la necesaria conexión de sentido o relación de adecuación entre la situación de urgencia que se afirma que existe y las medidas ideadas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denuncian los Senadores la “inconstitucionalidad del Real Decreto-ley impugnado por falta de idoneidad constitucional de su contenido para ser incorporado a un decreto-ley”. Este motivo parte de una referencia al “carácter estructurante del plan hidrológico nacional”, norma que “no se limita a contener una previsión de un conjunto de obras sino que supone la vertebración del sistema formativo en materia hidrológica y la ordenación del equilibrio territorial entre las regiones y comunidades afectadas”. Es por ello que su modificación afecta a “instituciones básicas del Estado” al incidir sobre el equilibrio territorial hidráulico, “cauce de solidaridad interterritorial”. Se destaca, igualmente, que, pese a incidir sobre el ámbito competencial de varias Comunidades Autónomas, no ha intervenido el Senado, Cámara de representación territorial (art. 69.1 CE) que está llamada a participar en las grandes cuestiones de vertebración territorial. También se apunta la incidencia sobre la planificación económica general del art. 131 CE, citándose al respecto la STC 76/1983, de 5 de agosto, y el art. 14 de la Directiva 2000/60/CE del Parlamento Europeo y del Consejo, de 23 de octubre, que se ha venido en conocer como “Directiva marco del agua”; el precepto hace referencia a la información y consultas públicas en la elaboración de los planes hidrológicos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 continuación, “inconstitucionalidad del Real Decreto-ley por defectos esenciales en su elaboración, constitucionalmente relevantes”. En este punto se denuncia la omisión del informe preceptivo del Consejo Nacional del Agua, contraviniendo lo dispuesto en el art. 20 del texto refundido de la Ley de aguas. Hablan, también, los Senadores recurrentes de “violación del principio de coordinación, junto con los principios de lealtad institucional y buena fe”, que se concreta en la infracción de diversos preceptos del texto refundido de la Ley de aguas y de la Directiva marco del agua. Finalmente, reprochan al decreto-ley controvertido la vulneración de los derechos de información y participación ciudadana, en los términos previstos en las dos normas ahora citadas, lo que da como resultado una arbitrariedad proscrita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principio constitucional de interdicción de la arbitrariedad, proclamado en el art. 9.3 CE, constituye, por otro lado, un motivo autónomo del recurso. Tras sintetizar la doctrina constitucional que los recurrentes entienden de aplicación al caso, exponen las razones por las que consideran que la derogación de la Ley del plan hidrológico nacional en lo relativo al régimen de transferencias vulnera el principio de confianza legítima, toda vez que no resultaba racionalmente previsible una modificación normativa como ésta. Sostienen que la aprobación del plan hidrológico nacional por la Ley 10/2001 generó una confianza legítima en que éste era el medio para lograr la resolución de los desequilibrios hídricos entre territorios “al contemplar, desde una perspectiva global, su uso armónico y coordinado, capaz de satisfacer de forma equilibrada las demandas existentes, así como un reparto equitativo de un bien escaso”. La derogación ha generado incertidumbre acerca del suministro de agua a los núcleos de población e impide cumplir los objetivos de la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por último, los Senadores recurrentes que el Real Decreto-ley 2/2004 habría infringido el principio constitucional de solidaridad. Citan en este punto los arts. 2, 9.2, 40.1, 45.2, 128.1 y 138.1 CE y la doctrina sentada en las SSTC 25/1981, de 14 de julio, y 64/1990, de 5 de abril, de las que se reproducen varios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octubre de 2004, la Sección Segunda de este Tribunal hubo de conceder a la comisionada parlamentaria un plazo de diez días para que acreditase documentalmente que los Senadores promotores del recurso formalizaron su voluntad de recurrir el Real Decreto-ley 2/2004 dentro del plazo de los tres meses fijado a tal fin en el art. 33 de la Ley Orgánica del Tribunal Constitucional (LOTC). A este requerimiento se dio completo cumplimiento el 28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nueva providencia de 16 de noviembre de 2004, la Sección Segunda acordó admitir a trámite el presente recurso de inconstitucionalidad, así como dar traslado de la demanda y documentos presentados, de conformidad con el art. 34 LOTC, al Congreso de los Diputados y al Senado, por conducto de sus Presidentes, y al Gobierno, a través del Ministro de Justicia, al objeto de que en el plazo de quince días pudiesen personarse en el proceso y formular las alegaciones que estimaran convenientes; y publicar la incoación del recurso en el “Boletín Oficial del Estado”, lo que se llevó a efecto el día 8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10 de diciembre de 2004, el Presidente del Congreso de los Diputados comunicó que la Mesa de la Cámara había acordado no personarse ni formular alegaciones en el presente proceso constitucional, poniendo a disposición del Tribunal las actuaciones de la Cámara que pudiera precisar. El 14 de diciembre de 2004 el Presidente del Senado comunicó que dicha Cámara se personaba en este proceso constitucional y ofrecía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16 de diciembre de 2004, el Abogado del Estado solicitó la desestimación del recurso por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que se inicia con unas “consideraciones previas” en las que la Abogacía del Estado da respuesta a las alegaciones efectuadas por los recurrentes respecto de la naturaleza del plan hidrológico nacional, la génesis del Real Decreto-ley 2/2004 y el alcance del control de constitucionalidad de los decretos leyes, se defiende la concurrencia del presupuesto habilitante de la extraordinaria y urgente necesidad para la aprobación del Decreto-ley controvertido en este proceso. A este respecto, además de recordar la explicación contenida en el preámbulo del Decreto-ley y de mencionar hasta 18 decretos-leyes en materia de aguas, se indica que, frente a lo sostenido en la demanda, no cabe siquiera plantearse la suspensión o paralización de las obras encaminadas a la realización del trasvase de aguas desde la cuenca del Ebro a otras cuencas deficitarias. Defiende igualmente la Abogacía del Estado que concurre la necesaria conexión de sentido entre la situación urgente identificada en el Decreto-ley y las medidas dispuestas para hacerle frente, rechazando en particular los argumentos empleados para sustentar el carácter potestativo o discrecional del contenido del plan hidrológico nacional, del que los demandantes infieren la no necesidad de aprobar un decreto-ley a fin de articular una alternativa para el suministro de agua a las zonas deficitarias.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sistemática empleada en el escrito rector de este proceso constitucional, la Abogacía del Estado niega, a continuación, que concurra el vicio consistente en la “falta de idoneidad constitucional” del contenido del Real Decreto-ley 2/2004, pues los argumentos empleados al efecto por los recurrentes adolecen de un exceso de abstracción e ignoran, además, que no es necesaria la intervención del Senado en la convalidación de los decretos-leyes o que el aquí controvertido no “afecta” al régimen de las Comunidades Autónomas puesto que no procede a una delimitación directa y positiva de las competencias autonómicas. Por lo demás, con cita de las SSTC 227/1988 y 60/1986, rechaza la caracterización de la planificación hidrológica como institución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defectos procedimentales que habrían existido durante la elaboración del Real Decreto-ley 2/2004, comienza recordando la Abogacía del Estado que el objeto de la impugnación es un real decreto-ley “que en un plano procedimental no sería exagerado presentar como una excepción al trámite normal y general previsto por la Constitución para la producción de las normas de rango legal: el trámite parlamentario”. Por ello, aun en la hipótesis de que se hubiera omitido algún trámite de audiencia a la Comunidad Autónoma recurrente, dicha omisión hallaría dispensa en el art. 86 CE, que no incluye entre los límites al decreto-ley este derecho de audiencia o de participación. Ha de entenderse que cuando la Constitución autoriza a prescindir de la tramitación parlamentaria en situaciones de urgente necesidad, con mayor razón está excluyendo la realización de aquellos otros trámites que eventualmente estuvieran previstos para la elaboración de planes, proyectos e incluso textos jurídicos y que no sean compatibles con la urgencia que legitima la aprobación de esta clase de normas. De otro modo, el decreto-ley sería un instrumento inútil para hacer frente a situaciones urgentes. Dicho esto, apunta que el art. 20 del texto refundido de la Ley de aguas, que regula el trámite de audiencia al Consejo Nacional del Agua en el procedimiento de elaboración del plan hidrológico nacional, no contiene una garantía institucional que pueda servir de canon de validez de las normas con rango de ley; sostiene que la demanda hace un uso abusivo del principio de lealtad institucional, citando de manera inadecuada las SSTC 35/1984 y 137/2003, y que resulta inoportuna la referencia a la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Abogado del Estado que se hayan vulnerado los principios de interdicción de la arbitrariedad, en conexión con el principio de seguridad jurídica, y de solidaridad. Con respecto al primero, amén de rechazar la tacha de arbitrariedad alzada frente al Real Decreto-ley 2/2004, indica el Abogado del Estado que resulta incomprensible cómo la alternativa propuesta, una simple suspensión de la Ley del plan hidrológico nacional, podría garantizar un nivel de seguridad jurídica mayor que la derogación y sustitución de los preceptos sobre el trasvase del Ebro. En cuanto al principio de solidaridad, señala el Abogado del Estado que el motivo queda “prácticamente reducido a una exposición doctrinal nutrida de unas consideraciones generales y abstractas no cuestionables en sí mismas, pero sin que de sus premisas se infieran claras conclusiones impugnatorias”. En particular, el desarrollo de este motivo no proporciona criterios jurídicos definidos a partir de los cuales pueda el Tribunal Constitucional resolver la discrepancia existente sobre la validez del Real Decreto-ley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2013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igual que sucediera en el recurso de inconstitucionalidad 5049-2004, del que fuera promotor el Consejo de Gobierno de la Región de Murcia y que ha sido resuelto en la reciente STC 51/2013, de 28 de febrero, el presente recurso de inconstitucionalidad coincide en objeto y fundamentación con el tramitado con el número 4786-2004, en el que se dictó la STC 237/2012, de 13 de diciembre. También aquí se impugna el Real Decreto-ley 2/2004, de 18 de junio, por el que se modifica la Ley 10/2001, de 5 de julio, del plan hidrológico nacional, y esa impugnación se sustenta en unos motivos que ya fueron examinados y respondidos en la citada STC 237/2012. Por ello, en aras de la brevedad y por mor de la coherencia, nos remitiremos ahora a aquellos pasajes de dicha Sentencia en los que se da respuesta a los cinco motivos aducidos por los Senadores que interpusieron el presente recurso de inconstitucionalidad para fundamentar su pretensión anulatoria de esta norma con rango de ley; a saber: vulneración del art. 86.1 CE por inexistencia del presupuesto habilitante legitimador de la aprobación del Real Decreto-ley 2/2004, falta de idoneidad del contenido de la norma para ser incorporado a un decreto-ley, existencia de defectos invalidantes en el procedimiento de elaboración, arbitrariedad contraria al art. 9.3 CE y quiebra del principio de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respecto al primero de los motivos esgrimidos por los Senadores recurrentes, hay que recordar que la concurrencia del requisito de la “extraordinaria y urgente necesidad” enunciado por el art. 86.1 CE, presupuesto habilitante de la aprobación del Real Decreto-ley 2/2004, fue objeto de detenido examen en los fundamentos jurídicos 3 a 6 de la STC 237/2012. Ya entonces, nuestro análisis nos condujo a constatar que “puede apreciarse razonablemente la concurrencia de la extraordinaria y urgente necesidad tanto en la derogación de los preceptos de la Ley del plan hidrológico nacional como en las declaraciones de interés general por el Real Decreto-ley 2/2004. Sin entrar a valorar la bondad técnica de dichas medidas, ni su oportunidad e idoneidad para paliar las deficiencias hídricas que han aquejado secularmente a las cuencas mediterráneas, juicios que no compete formular a este Tribunal Constitucional (en similares términos, SSTC 75/1983, de 3 de agosto; 142/1993, de 22 de abril, FJ 9, y 182/1997, de 28 de octubre, FJ 4, relativas todas ellas a medidas de carácter económico), bien podemos afirmar que ni una ni otra representan un uso abusivo del decreto-ley.”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requisito de la conexión de sentido o relación de adecuación entre la situación de urgencia y las medidas arbitradas para hacerle frente, dijimos entonces, que “tampoco merece favorable acogida la denuncia de que el Real Decreto-ley no satisface el requisito de la conexión de sentido pues hubiera bastado con paralizar las obras de realización de las infraestructuras necesarias para la realización del trasvase del Ebro, sin necesidad de derogar los preceptos de la Ley del plan hidrológico nacional relativos al mismo, pues está al alcance de un Gobierno decidir libremente la realización o no de unas de unas obras expresamente declaradas de interés general por el legislador. Antes bien, se trata de una obligación normativa que está llamado a cumplir, de modo que en tanto esté vigente la ley, en este caso la Ley del plan hidrológico nacional, no tiene libertad alguna de elección y debe ejecutar las previsiones legales al exigirlo así de consuno los principios de legalidad, seguridad jurídica y pleno sometimiento de la acción administrativa a la ley y al Derecho (arts. 9.3 y 103.1 CE). Por lo mismo que la Ley del plan hidrológico nacional no se limitó a autorizar una serie de actuaciones, dejando su suerte en manos del Gobierno, no puede sostenerse que éste pueda desentenderse de la realización de aquéllas. La inaplicación de la ley no es una alternativa en nuestro ordenamiento constitucional y por ello mismo en tanto no se derogasen formalmente los preceptos de la Ley del plan hidrológico nacional que contenían el régimen jurídico del trasvase de aguas de la cuenca baja del Ebro era necesario llevar a cabo las actuaciones materiales necesarias para cumplimentarlo y destinar a tal fin los fondos precisos.” (FJ 6). En este mismo fundamento jurídico desestimamos igualmente el alegato relativo a la falta de aplicación completa e inmediata del decreto-ley como criterio determinante de su inconstitucionalidad pues “no debe confundirse eficacia inmediata de la norma provisional con la ejecución instantánea de la misma” dado que “sólo aquélla es un requisito ínsito en la definición constitucional del decreto-ley establecida en el art. 86.1 CE.”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la pretendida transgresión de los límites materiales de los decretos-leyes en que habría incurrido el Real Decreto-ley 2/2004, dijimos en el fundamento jurídico 7 de la STC 237/2012 que, sin que ello suponga minusvaloración alguna de su importancia, lo cierto es que el equilibrio territorial al que hacen referencia los Senadores en su recurso “es un objetivo de la política hidráulica —establecido por el legislador ordinario— carente de todo componente orgánico, por lo que no puede concluirse que la alteración de las determinaciones legislativas cuando concurra el presupuesto habilitante afecte en modo alguno a una institución basilar del Estado constitucional” en los términos del art. 86.1 CE. En cuanto a la falta de intervención del Senado en la elaboración y aprobación del Real Decreto-ley 2/2004, advertimos entonces que era una “consecuencia lógica de la regulación constitucional de la figura del decreto-ley. No estará de más insistir, al respecto, en que el recurso al decreto-ley conlleva la sustitución del Parlamento por el Gobierno en la aprobación de normas con valor de ley y vigencia provisional (STC 182/1997, FJ 3), como tampoco recordar que nuestro sistema parlamentario se caracteriza por un ‘notorio bicameralismo imperfecto’ (STC 155/2005, de 9 de junio, FJ 9), una de cuyas manifestaciones radica, precisamente, en la reserva exclusiva al Congreso de los Diputados de la competencia para convalidar los decretos-leyes, sin intervención del Senado.”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observancia de las previsiones procedimentales del art. 131 CE, señalábamos en la STC 237/2012, con cita expresa de la STC 227/1988, de 29 de noviembre, que “ha sido el propio legislador, que no el constituyente, quien ha dispuesto que un instrumento de planificación sectorial como es el plan hidrológico nacional se apruebe mediante ley (art. 45.1 del vigente texto refundido de la Ley de aguas, aprobado por el Real Decreto Legislativo 1/2001, de 20 de julio) y quien ha contemplado igualmente la participación de las Comunidades Autónomas en el procedimiento de elaboración de los planes hidrológicos estatales como ‘instrumento general de colaboración y coordinación de la planificación hidrológica con otras medidas de planeamiento concurrentes’ [FJ 20 a) in fine]. De donde se concluye que el art. 131 CE no puede erigirse en canon de validez del Real Decreto-ley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El reproche relativo a la falta de intervención del Consejo Nacional del Agua en el procedimiento de elaboración de este decreto-ley fue igualmente objeto de consideración en la STC 237/2012, en la que advertimos que la lectura de la regulación y funciones de este órgano colegiado que se contiene en el texto refundido de la Ley de aguas no puede llevarnos a “concluir que el legislador infraconstitucional haya podido trascenderse a sí mismo e introducir en el art. 86 CE una limitación procedimental ratione materiae para la utilización del decreto-ley cuando concurra el presupuesto habilitante” (FJ 8). También dimos entonces respuesta a la queja referida a la eventual inobservancia de la Directiva 2000/60/CE del Parlamento Europeo y del Consejo, de 23 de octubre de 2000, por la que se establece un marco de actuación en el ámbito de la política de aguas, también denominada Directiva marco del agua. A este respecto debemos insistir ahora en que “en la medida en que … examinar la efectiva existencia de infracción de las Directivas citadas es presupuesto inexcusable para el análisis del motivo esgrimido para postular la nulidad del Real Decreto-ley 2/2004, cumple recordar, una vez más,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(STC 135/2012, de 19 de junio, FJ 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tacha de arbitrariedad dirigida contra el Real Decreto-ley 2/2004 debe ser asimismo rechazada por los motivos ya expuestos en el fundamento jurídico 9 de la STC 237/2012. Según advertimos entonces —y hemos reiterado en la reciente STC 19/2013, FJ 2 b)— “este Tribunal viene afirmando que cuando del enjuiciamiento de una norma legal desde la perspectiva que proporciona la interdicción de arbitrariedad consagrada por el art. 9.3 CE se trata,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(entre otras muchas, SSTC 104/2000, de 13 de abril, FJ 8 y 148/2012, de 5 de julio, FJ 15). La modificación parcial de la Ley responde a unas razones expuestas con detalle en el preámbulo del Real Decreto-ley 2/2004 y que han sido ya objeto de examen específico en esta misma Sentencia para descartar que dicha modificación legal llevada a cabo mediante el uso de una norma con valor de ley provisional y urgente representara un uso abusivo o arbitrario de la figura del decreto-ley. Cuestión distinta, y sobre la que no procede que este Tribunal formule pronunciamiento alguno, es la eficacia persuasiva que esas mismas razones hayan podido tener ... Pero la legítima discrepancia con la norma no es de suyo razón de inconstitucionalidad”, añadiendo que “los informes, estudios e intervenciones previos a la elaboración de la Ley del plan hidrológico nacional no agotaron su función con la aprobación de este texto legal sino que seguían estando a disposición del Gobierno de la Nación, quien habría hecho uso de algunos de ellos, así como de otros informes elevados con posterioridad a la promulgación de la Ley y que se mencionan específicamente en el preámbulo del Real Decreto-ley 2/2004. Así se advierte en la lectura del debate de convalidación, en el que distintas intervenciones hicieron mención expresa al contenido y sentido de esos mismos informes.” (STC 237/2012,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motivo referido a la desatención del principio de solidaridad fue objeto de estudio en los fundamentos jurídicos 11 y 12 de la STC 237/2012, a los que ahora hemos de remitirnos, sin perjuicio de reiterar las consideraciones entonces efectuadas respecto de que los términos empleados por los recurrentes para fundamentar este motivo impugnatorio, en este caso reiterados, “no permiten entrar a examinar el fondo del problema planteado pues la parte actora no ha satisfecho la carga de argumentar, en términos de estricta normatividad constitucional, la efectividad del vicio cuya concurrencia denuncia. No puede, en efecto, entenderse cumplida esa carga cuando las razones aportadas son expresivas tan sólo de la legítima discrepancia política que la actora mantiene con la norma controvertida. Compete al Estado, en tanto que garante de la realización efectiva del principio de solidaridad interterritorial (STC 96/1990, de 24 de mayo), llevar a cabo una asignación de los recursos hidráulicos que tenga presentes las distintas variables —sociales, ambientales, de carácter técnico, entre otras— a considerar, sin que le corresponda a este Tribunal sustituir al legislador estatal, aquí al legislador de urgencia, en el desempeño de esta tarea.” (FJ 12). Concluíamos entonces, y volvemos a hacerlo ahora, haciendo hincapié en que “los cánones a los que hemos de atenernos en el ejercicio de nuestra función jurisdiccional no son tan laxos como para permitir una valoración en términos de oportunidad política o de bondad técnica de las decisiones sometidas a nuestro juicio. Antes bien, estamos obligados a atenernos a un control de esas decisiones que no conlleve la suplantación de funciones atribuidas a otras instancias y que garantice, al mismo tiempo, el adecuado equilibrio de poderes. En el caso que nos ocupa el servicio a esa función exige que nos atengamos a un ‘control externo’ de la racionalidad de las medidas que se controvierten y no a un control estricto de calidad, acaso de perfección, ni a una comparación entre alternativas cuando todas ellas tienen cabida, como aquí sucede, en el texto constitucional.” (FJ 12).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