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6112-2012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6112-2012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en el recurso de amparo núm. 6112-2012.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octubre de 2012, el Procurador de los Tribunales don Carlos Piñeira de Campos en nombre y representación de don Abdelkader Castellanos de la Fuente y otros, y bajo la dirección del Letrado don Javier Cremades García, interpuso recurso de amparo contra el Auto del Juzgado Central de lo Contencioso-Administrativo núm. 1 de 17 de septiembre de 2012, dictado en el procedimiento abreviado núm. 81-2012, por el que se desestima el recurso de reposición interpuesto contra la providencia de 19 de junio de 2012, en la que se acuerda que deben interponerse por separado el recurso contencioso-administrativo formulado de manera conjunta por más de quince mil afectados contra las resoluciones las denegaciones de responsabilidad patrimonial de la Administración por cierre del espacio aéreo.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A esos efectos, se expone que cada día que avanzan los procedimientos abiertos debido al cumplimiento de lo acordado en las resoluciones impugnadas se hace más difícil e imposible una reparación de la desacumulación.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14 de febrero de 2013, acordó, respectivamente, la admisión a trámite de la demanda de amparo y la formación de pieza separada para la tramitación del incidente sobre la suspensión solicitada y conceder a los recurrentes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25 de febrero de 2013, presentó alegaciones en las que, enunciando la jurisprudencia de este Tribunal sobre el particular, interesó que se denegara la suspensión solicitada, argumentando que las decisiones judiciales impugnadas constituyen resoluciones de mero contenido negativo al denegar la posibilidad de una interposición conjunta de un recurso contencioso-administrativo por parte de todos los recurrentes en amparo, por lo que su suspensión equivaldría a una anticipación del otorgamiento del recurso de amparo. Por otro lado, también destaca el Ministerio Fiscal, por lo que se refiere a una eventual pérdida de finalidad del procedimiento de amparo, que la restauración en la integridad del derecho que se afirma vulnerado podría lograrse declarando la nulidad de las decisiones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por escrito registrado el 22 de febrero de 2013, presentaron alegaciones insistiendo en la necesidad de la suspensión de las resoluciones impugnadas por los graves perjuicios que supone que el conocimiento de los diversos recursos esté recayendo en los distintos Juzgados Centrales de lo Contencioso-Administrativo, lo que está provocando criterios y fallos dispares tanto en lo referido al pago de tasas judiciales, como a la posibilidad de actuar de manera acumulada varios recurrente, alcanzando actualmente, incluso, al fallo de las diversas Sentencias pronunciadas y las condenas en costas, lo que está causando graves perjuicios económicos. Igualmente, se destaca que la suspensión no ocasionaría ninguna perturbación grave a un interés constitucional o los derechos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En atención a esta previsión legal, el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(por todos, ATC 124/2012, de 18 de junio, FJ 1). Igualmente, también se ha hecho especial incidencia, por un lado, en que la acreditación del perjuicio es carga del recurrente, quien debe precisar los concretos perjuicios que de la ejecución se deriven, así como justificar o argumentar razonadamente la irreparabilidad de los mismos; y, por otro, que el perjuicio irreparable debe ser real, sin que sea posible alegar un perjuicio futuro o hipotético o un simple temor y que la pérdida de la finalidad del amparo no puede equipararse a la mayor o menor dificultad, molestia o incomodidad para el recurrente (por todos,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este Tribunal ha establecido el criterio de que la ejecución de las resoluciones judiciales cuyos efectos son fundamentalmente patrimoniales o de contenido económico, con carácter general, ni causa un perjuicio irreparable al obligado al pago, ni puede hacer perder al amparo su finalidad, al ser posible la restitución íntegra de lo ejecutado. De ese modo, sólo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(por todos, ATC 81/2012, de 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decisión judicial cuya suspensión se insta es la referida a la negativa de que los recurrentes puedan formular de manera acumulada la impugnación judicial de la denegación de la responsabilidad patrimonial de la Administración por el cierre del espacio aéreo. Frente a dicha decisión y la consecuencia de que se haya tenido que proceder a demandar de manera individualizada por los diferentes recurrentes, se alega que ello provoca un perjuicio irreparable derivado de la disparidad de criterios sobre aspectos como la necesidad del pago de tasas judiciales, posibilidad de actuar de manera acumulada varios recurrente, e incluso sobre la cuestión de fondo respecto de la existencia de responsabilidad patrimonial y las condenas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debe concluirse que, por la propia naturaleza de la acción ejercitada por los recurrentes en la vía judicial ordinaria, se pone de manifiesto que los perjuicios alegados son todos de naturaleza económica y que, por tanto, no son susceptibles de causar un perjuicio irreparable que hiciera perder al amparo su finalidad, al ser posible su restitución económica íntegra. Al margen de ello, además, tampoco en las alegaciones de los recurrentes se acredita que esos perjuicios económicos alegados sean de tal magnitud o entidad para cada uno de los afectados que resulte necesario excepcionar la regla general de no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tal como también destaca el Ministerio Fiscal, el contenido negativo de la decisión judicial impugnada determinaría que de accederse a la suspensión la consecuencia inmediata sería la procedencia de continuar con la acción conjunta iniciada por los recurrentes lo que, en última instancia, implicaría una otorgamiento anticipado del amparo, desnaturalizando la naturaleza cautelar de la medida (por todos, AATC 314/2006, de 25 de septiembre, FJ 2; o 43/2008, de 11 de febrero, FJ 2).</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solicitada en el recurso de amparo núm. 6112-2012.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