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79</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8 de abril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Manuel Aragón Reyes, doña Adela Asua Batarrita,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6996-2011, promovido por la entidad IG Llanerastur, S.L., representada por la Procuradora de los Tribunales doña Patricia Roch Iglesias y asistida por el Abogado don Constantino Vaquero Pastor, contra el Auto de 28 de octubre de 2011 del Juzgado de Primera Instancia número 2 de Avilés. Ha intervenido el Ministerio Fiscal. Ha comparecido el Banco de Sabadell, S.A., representado por la Procuradora de los Tribunales doña Blanca María Grande Pesquero y asistido por la Abogada doña Asunción Portabella.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21 de diciembre de 2011, la Procuradora de los Tribunales doña Patricia Roch Iglesias, en nombre y representación de la entidad IG Llanerastur, S.L., interpuso recurso de amparo contra la resolución judicial que se cita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relevantes para la resolución del recurso,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instancia de la entidad Banco Sabadell, el Juzgado de Primera Instancia núm. 2 de Avilés inició procedimiento de ejecución hipotecaria número 777-2009, en fecha 3 de septiembre de 2009, contra doña María del Carmen García González y don Ubaldo López Flores y contra la finca registral hipotecada núm. 4.240, inscrita en el Registro de la Propiedad núm. 1 de Avilés. El principal más los intereses del préstamo hipotecario ascendían en aquel momento a la cantidad de 15.774,81 €, estando la finca tasada en la escritura en 56.447,06 € para el caso de subasta.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banco acompañaba a su demanda la copia de la escritura del préstamo, una certificación expedida por el Registro de la Propiedad acreditativa del dominio de la finca y de la inscripción de la hipoteca, el acta de liquidación del saldo intervenida por Notario y los justificantes de haber intentado la notificación de vencimiento y requerimiento de pago a los demandados (burofaxes remitidos a los deudores en fecha de 22 de mayo de 2009 y que no pudieron ser entregados por resultar éstos desconocidos en el domicilio al que se le remitió).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Tras diferentes gestiones conducentes a la averiguación del domicilio de los ejecutados, y habiéndolo finalmente hecho en el nuevo domicilio obtenido a doña María del Carmen García y por comunicación edictal al otro ejecutado, se siguieron todos los trámites legalmente previstos del procedimiento, que finalizaron con el Auto que aprobó el remate firme sin que frente a él hubiera lugar a recurso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entidad IG Llanerastur, S.L. —demandante en amparo—, que a la sazón era titular del dominio en virtud de subasta llevada a cabo por la Agencia Estatal de la Administración Tributaria, inscrito en el Registro de la Propiedad el 11 de marzo de 2008, en la que se identifica perfectamente, no fue notificada en ningún momento durante el proceso de ejecución hipotecaria y, según afirma, tomó conocimiento de su existencia cuando “en los primeros días del mes de junio de 2011 y con motivo de una gestión en la oficina de la seguridad social ... se le informa de que la vivienda ha sido objeto de ejecución hipotecaria, ha sido subastada y aparece inscrita a nombre de otra persona diferente, facilitándole los datos del procedimiento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 fecha 10 de junio de 2011, la representación procesal de IG Llanerastur, S.L., se persona en debida forma en el procedimiento hipotecario 777-2009, obteniendo una copia del procedimiento en fecha 28 de junio de 2011 y, por providencia de 1 de julio siguiente, se reconoce su calidad de interesada en el proceso al ser la entidad recurrente propietaria de la finca subastada. Con fecha 6 de julio de 2011, dicha parte interpuso incidente de nulidad de actuaciones alegando el quebrantamiento de su derecho a la tutela judicial efectiva y a no padecer indefensión (art. 24.1 CE), en tanto que la omisión de las notificaciones le había privado de la posibilidad que la ley le otorga para poder, bien oponerse a la ejecución, bien pagar la cantidad reclamada y evitar la subasta del inmueble de su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fecha 28 de octubre de 2011 el Juzgado dicta Auto desestimando el incidente y argumenta que “la parte solicitante carece de legitimación al promover dicha nulidad en cuanto que no es parte en el procedimiento, en sentido propio (se ha personado a los solos los efectos del incidente), ni tampoco de forma obligatoria tendría que haber sido parte —necesaria—, por cuanto que inicialmente no debió ser demandado, en cuanto no acredita —sólo afirma— que hubiera comunicado a la entidad acreedora su adquisición”.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la entidad demandante aduce que se ha vulnerado el derecho fundamental a la tutela judicial efectiva sin indefensión (art. 24.1 CE) y acceso a la jurisdicción. Sostiene que se ha subastado un bien que ya no estaba en el patrimonio del deudor ejecutado, sino que pertenecía a la demandante de amparo, titular registral del inmueble y con la condición de tercer hipotecario, como le constaba al Juzgado con la simple lectura del folio registral y la ausencia de notificación del Registrador en el momento de expedir la certificación de cargas.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todo, el Juzgado no procedió a notificarle en ningún momento del proceso, ni tan siquiera de forma edictal, la existencia del juicio ejecutivo, produciéndose la subasta sin que conociera la existencia del procedimiento ni fuera parte del mismo, lo que le privó de su derecho a ser oído y le impidió el ejercicio del derecho de defensa de sus legítimos derechos e intereses sobre el citado inmueble, lo que es incomprensible a la vista del conocimiento que tenía el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parte se refiere a la STC 29/2003, de 13 de febrero, en la que se otorgó el amparo en un supuesto similar al presente, al acordarse el lanzamiento de la vivienda de un tercero adquirente extranjero y residente fuera de España, cuyo título estaba inscrito en el Registro de la Propiedad, sin oírle ni permitirle comparecer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fundamentación de la demanda de amparo se alega que los argumentos empleados en el Auto que resuelve el incidente de nulidad de actuaciones resultan inadmisibles, pues no solamente son irrazonables cuando fundamentan que esta parte carece de legitimación para interponer el incidente, sino porque conculca su deber de garantizar su derecho a la tutela judicial efectiva en su vertiente de acceso a la jurisdicción, una vez constatado que era la titular registral del dominio sobre la finca ejecutada.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otrosí en la propia demanda de amparo se solicitó que se dejara en suspenso la ejecución del Auto de 28 de octubre de 2011, recaído en el procedimiento ejecutivo núm. 777-2009, por el que se adjudica el inmueble a un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octubre de 2012 la Sala Primera acordó conocer del presente recurso de amparo y admitir a trámite la demanda y, a tenor de lo dispuesto en el art. 51 de la Ley Orgánica del Tribunal Constitucional (LOTC), requerir al Juzgado de Primera Instancia núm. 2 de Avilés, para que el plazo de diez días remitiera testimonio del juicio ejecutivo núm. 777-2009, interesándose al tiempo que se emplazara a quienes fueron parte en el procedimiento, a excepción de los recurrentes en amparo, para que en el plazo de diez días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fecha se acordó la apertura de la correspondiente pieza separada para la tramitación del incidente de suspensión, concediéndose un plazo común de tres días a los recurrentes y al Ministerio Fiscal para que formularan alegaciones sobre el particular, conforme a lo previsto en el art. 56 LOTC. Evacuado dicho trámite, mediante ATC 217/2012, de 26 de noviembre, la Sala Primera acordó acceder a la suspensión solicitada y ordenar la anotación preventiva de la demanda de amparo en el Registro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Sala Primera de 16 de noviembre de 2012 se tuvo por personada y parte a la Procuradora doña Blanca María Grande Pesquero, en nombre y representación del Banco de Sabadell,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del Secretario de Justicia de la Sala Primera de 15 de enero de 2013 se tuvieron por recibidos los testimonios de las actuaciones remitidos por el Juzgado de Primera Instancia núm. 2 de Avilés, acordándose, a tenor de lo dispuesto en el art. 52 LOTC, dar vista de todas las actuaciones del presente recurso de amparo, en la Secretaría de la Sala, por un plazo común de veinte días, al Ministerio Fiscal y a las partes personadas, para que dentro de dicho término pudieran presentar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entidad demandante de amparo formuló sus alegaciones mediante escrito que tuvo su entrada en el Registro General de este Tribunal el día 8 de febrero de 2013, en el que se afirma y ratifica en el escrito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presentó sus alegaciones mediante escrito registrado el día 8 de febrero de 2013, interesando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aduce que estamos ante la derivación más trascendente del derecho a la tutela judicial efectiva cual es el de “acceso al proceso”, que tiene su fuente en la Constitución a diferencia del derecho al recurso que nace de la ley y que por tanto, ha de ejercerse de acuerdo a los requisitos y formas legales previstos en las leyes procesales (por todas STC 37/1995). Esta perspectiva obliga a interpretar con un criterio expansivo, no restrictivo, las normas procesales que regulan el acceso al proceso, como entiende que hace el Auto recurrido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falta de llamada a la demandante de amparo a un proceso de ejecución hipotecaria cuando era titular de un derecho de propiedad sobre el bien ejecutado, inscrito en el Registro de la Propiedad, contraría los preceptos de la Ley de enjuiciamiento civil (LEC) que permiten su presencia (arts. 685, 686 y 689), no sólo por la interpretación amplia que debe presidir la intervención en un proceso en que se está discutiendo sobre la titularidad de un bien propio, sino por una interpretación finalista, más conforme al derecho de acceso al proceso, cuando está cuestionada la condición de parte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685 LEC, cuando habla de acreditación por el tercer poseedor al acreedor de la adquisición de dichos bienes, no solo debe incluir la notificación formal de tal adquisición sino los supuestos en los que el acreedor pueda creer con suficiente grado de certeza la existencia de un titular de los bienes, como es el caso del demandante de amparo que tenía inscrito su derecho desde el año 2008, es decir, más de un año anterior a la interposición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Fiscal, la exclusión del proceso a una parte constitucionalmente necesaria implica una lesión del derecho fundamental que se plasma en la supresión de todo tipo de requerimientos notariales y judiciales, anteriores o posteriores a la incoación del proceso, como se eluden asimismo las notificaciones de subastas, una suspendida y la otra celebrada o el traslado de la tasación de costas y, por supuesto el Auto de adjudicación de la finca a terceras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margen de esa primera comunicación al tercer poseedor de la existencia del proceso, la tramitación ulterior de la ejecución, nos lleva al acto de la subasta en donde la LEC (art. 689) vuelve a insistir en la llamada al proceso de personas que ostenten título de dominio según la certificación registral y que no hayan sido requeridas de pago, la cual no se llevó a cabo tampoco y con ello se impidió la presencia del demandante de amparo en el proceso, adjudicando su propiedad a terceras personas, sin oírle.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según los razonamientos que contiene el dictamen emitido por el Ministerio Fiscal, el Auto resolutorio del incidente no satisface las exigencias derivadas de la trascendencia de tal trámite, que debería haberle llevado a profundizar más en las razones expuestas por la defensa del demandante, analizando la legislación, la citación obligada en momento anterior a la subasta, el sentido de la jurisprudencia en la interpretación de la norma del art. 685 LEC y la dimensión constitucional del art. 24.1 CE que le lleva a esa interpretación tan reduccionista de los actos de comunicación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 Banco de Sabadell, S.A., presentó su escrito de alegaciones en fecha 13 de febrero de 2013 en el que solicita que se deniegue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que la demandante de amparo en ningún momento comunicó a la entidad bancaria la adquisición del inmueble, pese a que era conocedor de la existencia de la hipoteca, por lo que no debía ser parte en el proceso, según dispone el art. 685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esta representación aduce que la demandante de amparo fue notificada por el Registro de la Propiedad cuando libró la certificación de título y cargas en noviembre de 2009 y no acredita que tuviera conocimiento en las fechas que alega en la demanda de amparo (junio de 2011), por lo que el incidente de nulidad de actuaciones se interpuso extemporáneamente.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alega que de haber actuado la parte demandante de amparo con una mínima diligencia ya en noviembre de 2009 hubiera podido comparecer en el procedimiento de ejecución, lo que no realizó, personándose de forma extemporánea y desatendió por completo el préstamo hipotecario, sin pagar una sola de las cuotas vencidas después de la adquisición.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5 de abril de 2013 se señaló para la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28 de octubre de 2011, dictado por el Juzgado de Primera Instancia núm. 2 de Avilés, que desestimó la petición de nulidad de actuaciones promovida por la sociedad demandante de amparo en el procedimiento de ejecución hipotecaria núm. 777-2009.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imputa a la resolución recurrida la vulneración del derecho fundamental a la tutela judicial efectiva sin indefensión (art. 24.1 CE), al no declarar la nulidad de las actuaciones en el citado procedimiento, en el que se procedió a subastar y adjudicar una vivienda que figuraba inscrita a nombre de la parte recurrente en el Registro de la Propiedad con anterioridad al inicio del procedimiento, sin notificarle la existencia del procedimiento, ni permitirle comparecer en el mismo, lo que le privó de su derecho a ser oído y le impidió el ejercicio del derecho de defensa de sus legítimos derechos e intereses sobre el citado inmueble.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por entender que concurre la vulneración denunciada, en tanto que la representación del Banco de Sabadell se opone al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recurso de amparo plantea la cuestión relativa a la constitución de la relación jurídico procesal en el procedimiento de ejecución hipotecaria de la vigente Ley 1/2000, de 7 de enero, de enjuiciamiento civil (LEC), en relación con el titular de la finca que ha inscrito su derecho en el Registro de la Propiedad, lo cual dota a este recurso de especial trascendencia constitucional puesto que no sólo se trata de una cuestión de relevante y general repercusión social [STC 155/2009, de 25 de junio, FJ 2 g)] sino que, además, permite a este Tribunal Constitucional sentar doctrina sobre la proyección que, desde la perspectiva del derecho fundamental a la tutela judicial efectiva (art. 24.1 CE), tiene la inscripción registral y su publicidad en dicho procedimiento especial de ejecución, problema sobre el que no nos hemos pronunciado específicamente bajo la vigencia del procedimiento hipotecario de la actual Ley de enjuiciamiento civil, puesto que nuestras Sentencias anteriores se refieren genéricamente a la intervención de terceros poseedores en el proceso de ejecución hipotecaria desde la perspectiva del interés legítimo (por todas, SSTC 29/2003, de 13 de febrero; 6/2008, de 21 de enero; y 43/2010, 26 de julio), lo que se corresponde con el supuesto del apartado a) del fundamento jurídico 2 de la invocada STC 155/2009.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declarado reiteradamente que el derecho a la tutela judicial efectiva sin indefensión (art. 24.1 CE) garantiza a todos los que puedan resultar afectados por la decisión que se dicte en un proceso judicial el derecho a conocer su existencia, a fin de que tengan la posibilidad de intervenir en él, ser oídos, y ejercer la defensa de sus derechos e intereses legítimos.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necesidad de promover la defensa, en la medida de lo posible, mediante la debida contradicción, impone a los órganos judiciales un especial deber de diligencia que, en palabras de la STC 56/2001, de 26 de febrero, FJ 2, “tiene especial importancia en el proceso de ejecución”. En concreto, y por lo que respecta a la posibilidad de intervenir en un proceso de ejecución, hemos afirmado que el derecho a la tutela judicial efectiva habilita a quienes ostenten algún derecho o interés legítimo que pueda verse afectado por los actos de ejecución a comparecer y actuar en el procedimiento, aunque no hubieran sido parte en el proceso principal, y a este fin los arts. 270 de la Ley Orgánica del Poder Judicial y 260.2 LEC exigen que las resoluciones judiciales se notifiquen no sólo a las partes procesales, sino también a las personas a quienes se refieran o puedan causar el perjuicio (SSTC 229/2000, de 2 de octubre, FJ 3 y 56/2001, de 26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doctrina impone, con absoluta claridad, que la interdicción de la indefensión consagrada en el art. 24.1 CE implique a los órganos judiciales en el deber de velar por que quienes ostenten algún derecho o interés legítimo en un proceso de ejecución, aunque no hayan sido parte en el proceso principal, puedan comparecer y ser oídos en el mismo para garantizar su defensa, sin perjuicio del pronunciamiento que pueda recaer y de la posible existencia de otras acciones que puedan corresponder a los afectados (STC 43/2010, de 26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el proceso especial de ejecución hipotecaria, introducido por la Ley de 2 de diciembre de 1872 para el desaparecido Banco Hipotecario de España, S.A., y por la Ley hipotecaria de 1909, que ha perdurado en sus rasgos fundamentales hasta su sustitución por el régimen recogido en la vigente Ley 1/2000, de 7 de enero, de enjuiciamiento civil, la STC 41/1981, de 18 de diciembre, FJ 5, afirmaba que el procedimiento de ejecución hipotecaria se caracteriza como un procedimiento de realización del valor de la finca hipotecada, que carece de una fase de cognición y cuya estructura resulta lógica a partir de la naturaleza del título, donde se limita extraordinariamente la contradicción procesal, si bien ello no significa que se produzca indefensión por el carácter no definitivo del procedimiento, puesto que las cuestiones de fondo quedan intactas y pueden discutirse después con toda amplitud (en el mismo sentido, STC 158/1997, de 2 de octubre, FJ 6, y ATC 113/2011, de 19 de julio, FJ 4, en relación con el procedimiento especial de la Ley 1/2000,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validez global de la estructura procedimental de la ejecución hipotecaria en modo alguno admite excepciones al derecho de defensa de los interesados, no siendo admisibles lecturas restrictivas de la intervención de quienes son titulares de derechos e intereses legítimos, entre los que figuran los denominados legalmente como “terceros poseedores” y el propietario de los bienes que no se ha subrogado en el contenido obligacional garantizado con la hipoteca.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examinado el Auto recurrido en amparo, dictado por el Juzgado de Primera Instancia de Avilés de 28 de octubre de 2011, declara no haber lugar al incidente de nulidad de actuaciones promovido por la parte recurrente en amparo, a quien niega legitimación por no ser “parte” en el procedimiento, máxime al no acreditar que hubiera comunicado a la entidad acreedora la adquisición de la finca adjudicada.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estricta perspectiva constitucional, una línea constante y uniforme de este Tribunal en materia de acceso al proceso en general (art. 24.1 CE), y al procedimiento de ejecución hipotecaria en particular, ha promovido la defensa, dando la oportunidad de participar, contradictoriamente, en la fase de ejecución de este procedimiento especial, al existir una posición privilegiada del acreedor derivada de la fuerza ejecutiva del título.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art. 685 LEC establece que la demanda debe dirigirse frente al tercer poseedor de los bienes hipotecados “siempre que este último hubiese acreditado al acreedor la adquisición de dichos bienes”, precepto éste que entendido según el art. 24 CE nos lleva a la conclusión de que la situación de litisconsorcio necesario se produce en todo caso respecto de quien tiene inscrito su título adquisitivo, pues el procedimiento de ejecución hipotecaria no puede desarrollarse a espaldas del titular registral, como aquí ha sucedido, al serlo con anterioridad al inicio del proceso de ejecución hipotecaria.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la cuestión planteada la inscripción en el Registro produce la protección del titular derivada de la publicidad registral, con efectos erga omnes, por lo que debe entenderse acreditada ante el acreedor la adquisición desde el momento en que éste conoce el contenido de la titularidad publicada, que está amparada por la presunción de exactitud registral. Esta solución resulta reforzada por lo dispuesto en el art. 538.1.3 LEC, de aplicación al proceso especial de ejecución hipotecaria ex art. 681.1 LEC, donde se reconoce la condición de parte al titular de los bienes especialmente afectos al pago de la deuda, así como por lo dispuesto en el art. 132 de la Ley hipotecaria, que exige al Registrador, a la hora de realizar la calificación del título, que constate si se ha demandado y requerido de pago al deudor, hipotecante no deudor y “terceros poseedores que tengan inscritos su derecho en el Registro en el momento de expedirse certificación de cargas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 relación a los terceros poseedores, que pueden exhibir su título ante el Juez, cuya eficacia sólo a efectos de la ejecución éste habrá de valorar, se impone dar la oportunidad a quien alega la existencia de un título, que evitaría la desposesión, de aducir la existencia de un derecho que, en apariencia, pueda subsistir, lo cual hemos extendido con mayor razón a quienes ostentan la posesión en concepto de dueños y además están protegidos por la fe pública registral (por todas, STC 29/2003, de 13 de febrero,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precedentes consideraciones permiten concluir reconociendo que se ha vulnerado el derecho a la tutela judicial efectiva sin indefensión de la entidad IG Llanerastur, S.L., al no haber sido llamada al proceso, puesto que consta acreditado que era titular del dominio de la vivienda hipotecada en virtud de subasta llevada a cabo por la Agencia Estatal de la Administración Tributaria, figura inscrito su derecho en el Registro de la Propiedad el 11 de marzo de 2008, y está identificada en la certificación de cargas expedida con anterioridad a la interposición de la demanda ejecutiva, sin que la sociedad demandante tuviera conocimiento efectivo del proceso de ejecución, con anterioridad a la fecha que indica la parte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haber alegado la representación procesal del Banco de Sabadell, S.A., que el demandante de amparo tenía conocimiento extraprocesal de la ejecución, tal conocimiento ha de estar acreditado fehacientemente en los autos, lo que no sucede en este caso, pues no puede basarse esta presunción a partir de meras conjeturas, “pues lo presumido es, justamente, el desconocimiento del proceso si así se alega”, en coherencia con la jurisprudencia de este Tribunal (por todas, SSTC 219/1999, de 29 de noviembre, FJ 2; 268/2000, de 13 de noviembre, FJ 4 y 210/2007, de 24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lo dispuesto en el art. 55.1 de la Ley Orgánica del Tribunal Constitucional, procede estimar el recurso de amparo y declarar la nulidad de todos los actos procesales desde la presentación de la demanda en el procedimiento de ejecución hipotecaria núm. 777-2009 seguido en el Juzgado de Primera Instancia núm. 2 de Avilés, retrotrayendo las actuaciones a dicho trámite para permitir al demandante de amparo su presencia en el referido proceso de ejecución hipotecaria, sin que proceda continuar la tramitación del incidente cautelar, al haberse producido la pérdida sobrevenida de su objeto.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representación procesal de IG Llanerastur, S.L.,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de la parte recurrente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del Auto de 28 de octubre de 2011, dictado por el Juzgado de Primera Instancia número 2 de Avilés, que desestimó la solicitud de nulidad de actuaciones promovida en el procedimiento de ejecución hipotecaria número 777-2009, así como de todas las resoluciones judiciales y actos procesales dictados en el citado procedimiento a partir del momento en que el órgano judicial acordó despachar ejecución en Auto de 4 de noviembre de 2009.</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dictarse esta última resolución, a fin de que se notifique a la demandante la existencia del procedimiento ejecutivo y ésta pueda comparecer y ser oída en el mismo.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abril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