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6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Ortega Álvarez, don Francisco Pérez de los Cobos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5372-2012, promovido por don Johannes Bloem, representado por el Procurador de los Tribunales don José Andrés Peralta de la Torre y asistido por la Letrada doña Vilma V. Benel Calderón, contra el Auto del Pleno de la Sala de lo Penal de la Audiencia Nacional de 12 de julio de 2012, recaído en el recurso de súplica 32-2012, interpuesto contra el Auto de la Sección Tercera de la Sala de lo Penal de la Audiencia Nacional de 4 de junio de 2011, dictado en rollo de Sala núm. 9-2012, dimanante del procedimiento de extradición 2-2012 del Juzgado Central de Instrucción núm. 1, por el que se concede la extradición del demandante a las autoridades del Reino de Tailandia. Ha intervenido el Ministerio Fiscal y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24 de septiembre de 2012, don José Andrés Peralta de la Torre, Procurador de los Tribunales y de don Johannes Bloem,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de nacionalidad holandesa, fue detenido en Benidorm (Alicante) el 17 de enero de 2012, a consecuencia de una orden internacional de detención emitida por la Corte Criminal de Tailandia en fecha 11 de abril de 2011, por delito de abuso sexual de un menor de quince años. Como consecuencia de esta orden fue incoado contra aquél, por el Juzgado Central de Instrucción núm. 1, procedimiento extradicional núm. 2-2012, en cuyo curso el ahora demandante manifestó la no aceptación de la extradición y su no renuncia al principio de especialidad. El Juzgado Central de Instrucción núm. 1, por Auto de 26 de enero de 2012, ratificó la prisión provisional e incondicional decretada el mismo día 17, a través de auxilio judicial, por el Juzgado de Instrucción núm. 1 de Benidorm.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26 de marzo de 2012, el Juzgado Central de Instrucción núm. 1 acordó la elevación del expediente al Presidente de la Sección Tercera de la Sala de lo Penal de la Audiencia Nacional, quedando en ésta registrado con el núm. 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24 de abril de 2012 tuvo entrada en el Juzgado Central de Instrucción de guardia escrito de alegaciones del demandante de amparo (folios 90 a 107), en el que se solicita de la Sala no acceder a la extradición solicitada, en atención a sus problemas de salud y por diversos defectos e infracciones legales: imposibilidad de verificar si la legislación tailandesa cumple con el principio de reciprocidad en materia de extradición; incumplimiento del art. 4.6 en relación con el art. 5.1 de la Ley 4/1985, de 21 de marzo, de extradición pasiva (en adelante, LEP), al considerarse que el Reino de Tailandia no ofrece garantías de que no se vayan a aplicar penas al ahora demandante de amparo que atenten a su integridad corporal o que impliquen tratos inhumanos o degradantes; que la solicitud de extradición pudiera tener como fin su persecución por el simple hecho de ser homosexual; y por la ausencia de una traducción oficial español de las solicitudes de extradición, con infracción del artículo 7.2 LEP.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Audiencia Nacional, mediante Auto de 4 de junio de 2012, acordó acceder a la petición de extradición del recurrente en amparo formulada por el Reino de Tailandia por los hechos objeto de la solicitud, constitutivos de delito de abuso sexual de menor de quince años. El Auto atiende, en ausencia de tratado multilateral o bilateral de extradición, al principio de reciprocidad a que se refieren los arts. 13.3 CE y 1.2 LEP, dado el ofrecimiento expreso que contiene la solicitud cursada por el Procurador General de Tailandia, y una vez justificada la concurrencia de todos los requisitos formales de art. 7.1 y 7.2 LEP, los principios de doble incriminación y mínimo punitivo a que se refiere el art. 2.1 LEP, el carácter común de los delitos y la inexistencia de motivaciones espurias en la solicitud, así como la no concurrencia de causas de extinción de la responsabilidad y la competencia de las autoridades reclamantes para el enjuiciamiento. En el fundamento jurídico sexto se rebaten in extenso los argumentos de la defensa en contra de la extradición del demandante de amparo, enumerados en el ordinal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súplica interpuesto por el demandante fue desestimado por el Pleno de la Sala de lo Penal de la Audiencia Nacional por Auto de 12 de julio de 2012, notificado al demandante el 24 de julio. Frente a la vulneración de los derechos a la tutela judicial efectiva y a la del principio de legalidad extradicional (arts. 24.1 y 13.3 CE), alegada por el demandante por considerar infringido el art. 278.1 de la Ley Orgánica del Poder Judicial (LOPJ), el Pleno de la Sala de lo Penal de la Audiencia Nacional entiende que el hecho de haberse rechazado con anterioridad por las autoridades tailandesas una petición de extradición de las españolas no significa que no se deba aceptar el ofrecimiento de reciprocidad efectuado ahora por aquéllas, por lo que, de acuerdo con la legislación aplicable, no se puede llegar a otra conclusión que entender la concurrencia de reciprocidad jurídica, en los términos del art. 278 LOPJ, mención aparte de la potestad del Gobierno para, en su caso, apreciar la reciprocidad, desde un plano estrictamente político, en la siguiente fase del expediente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la alegación sobre la posible incongruencia omisiva del Auto, pues el extraditable habría denunciado una supuesta vulneración del art. 15 CE en relación con la integridad física y moral, sin que en ningún caso puedan los justiciables extraditables ser sometidos a tortura ni a penas inhumanas y degradantes, lo que a juicio del demandante no habría obtenido respuesta en el Auto recurrido, el Pleno de la Sala de lo Penal de la Audiencia Nacional manifestó que es reiterada la jurisprudencia de la propia Sala, del Tribunal Supremo y del Tribunal Constitucional de que tales alegaciones, además de ser acreditadas, requieren una valoración específica para el riesgo que se le pueda deparar en concreto al extraditado, y considera que ello no se ha producido en este caso, pues la parte recurrente no ha hecho alegaciones sobre el riesgo concreto que puede sufrir, concluyendo que “sus alegaciones no son obstáculo jurídico para denegar a [sic] extradición, pero generan en la Sala una no desdeñable preocupación”.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de 30 de julio de 2012 fue solicitada la suspensión cautelarísima de la ejecución de la extradición, dada la intención de recurrir en amparo contra el Auto de 12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escrito con registro de entrada en la Sala de lo Penal de la Audiencia Nacional de 18 de septiembre de 2012, el demandante de amparo promovió incidente de nulidad de actuaciones contra el Auto resolutorio del recurso de súplica, que sería posteriormente desistido en fecha de 26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24 de septiembre de 2012 —esto es, mientras aún pendía el incidente de nulidad de actuaciones—, se registró en este Tribunal Constitucional la demanda de amparo, basada en la supuesta vulneración del derecho a la tutela judicial efectiva (art. 24.1 CE), en sus vertientes de derecho a la motivación suficiente y las decisiones congruentes, con afectación del derecho a la vida y a la integridad física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la falta de motivación de las resoluciones recurridas se refiere, la demanda de amparo considera que el Pleno de la Sala de lo Penal de la Audiencia Nacional, al desestimar el recurso de súplica, ni siquiera se pronuncia sobre la alegada vulneración del art. 278.1.3 LOPJ, en cuya virtud la extradición por aplicación del principio de reciprocidad debe denegarse cuando los documentos carezcan de autenticidad o estén redactados en un idioma que no sea el castellano, actuación incorrecta del órgano judicial que le habría producido indefensión: según la demanda de amparo, el Gobierno de Tailandia ha presentado su solicitud de extradición en idioma inglés, sin cumplir la exigencia legal contenida en dicho precepto de que las solicitudes se aporten con traducción al castellano y, por otro lado, los documentos que se presentan en castellano tienen una traducción pésima; ello habría impedido al demandante conocer lo establecido por la ley de extradición de Tailandia y el alcance que tiene dentro de ella el principio de reciprocidad. Según la demanda de amparo, para la Sala de lo Penal de la Audiencia Nacional esta deficiencia no constituye defecto formal alguno, por entender que los textos a los que afecta el deber de traducción son los señalados por el art. 7.1 LEP, esto es, los penales sustantivos que permitan controlar la concurrencia de la doble incriminación, mínimo punitivo y ausencia de causas extintivas de la responsabilidad, no la legislación interna reguladora en Tailandia del proceso de extradición, sin pronunciarse sobre la alegada deficiencia de la traducción de la norma sustantiva tailandesa sobre el mínimo punitivo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directa conexión con lo anterior se denuncia también que el Auto resolutorio del recurso de súplica incurre en supuesta incongruencia omisiva con relevancia constitucional pues, al confirmar el Auto de extradición en todos sus términos, no ha analizado debida y pormenorizadamente la concurrencia del requisito del art. 5.1 LEP en relación con el art. 4.6 del mismo cuerpo legal, relativo a asegurar las garantías del procedimiento y el respeto a los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petición, la demanda de amparo pone de relieve que en el caso hay una afectación del derecho a la vida con vulneración del art. 15 CE, sobre la base de la argumentación referida a la denunciada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2012 la Sala primera de este Tribunal acordó admitir a trámite la demanda de amparo y, en aplicación de lo dispuesto por el art. 51 de la Ley Orgánica del Tribunal Constitucional (LOTC), dirigir atenta comunicación al Pleno de la Audiencia Nacional para que en el plazo de diez días remitiese certificación o copia adverada de las actuaciones correspondientes al recurso de súplica núm. 32-2012 y a la Sección Tercera de la Sala de lo Penal de la Audiencia Nacional de los correspondientes al rollo de Sala núm. 9-2012, interesándose al mismo tiempo el emplazamiento de quienes fueron parte en el procedimiento, a excepción de la demandante de amparo, ya personada, para que pudieran comparecer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Igualmente, y conforme con lo solicitado mediante otrosí en la demanda de amparo, se acordó, por una segunda providencia de esa misma fecha (30 de octubre de 2012), formar la correspondiente pieza separada en la que, tras los trámites oportunos, se acordó por la Sala Segunda de este Tribunal, por Auto de 12 de noviembre de 2012, la suspensión de la ejecución del Auto de 12 de julio de 2012, resolutorio del recurso de súplica, así como la medida cautelar de suspensión de la ejecución del Auto de 4 de junio de 2012 de la Sección Tercera de la misma Sala en rollo núm. 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mediante diligencia de ordenación de 27 de noviembre de 2012, acordó dar vista de las actuaciones recibidas a la parte recurrente y al Ministerio Fiscal por plazo común de veinte días, conforme al art. 52.1 LOTC, para que alegaran lo que estimaran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Evacuando el referido trámite, el 4 de enero de 2013 el demandante de amparo presentó escrito de alegaciones en el que se ratificó íntegramente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16 de enero de 2013, interesó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no ha habido vulneración del derecho a la tutela judicial efectiva por motivación insuficiente de las resoluciones impugnadas, y la aportada por los dos Autos no incurre en irrazonabilidad o arbitrariedad ni es fruto de un error patente. Sobre la concreta denuncia de que el Auto de 12 de julio de 2012 no se pronuncia sobre la alegada vulneración del art. 278.1.3 LOPJ —en referencia a los defectos en la traducción de los documentos remitidos por el Gobierno de Tailandia—, se considera demostrado que ya se brindó al ahora demandante respuesta de forma más que expresa y motivada en el Auto de 4 de junio de 2012 de la Sección Tercera de la Sala de lo Penal, en sus fundamentos jurídicos primero, tercero, cuarto y sexto, y que, al confirmar la Sala de lo Penal de la Audiencia Nacional en Pleno la “literalidad” de aquel Auto —señalando que las alegaciones realizadas en aquél “en nada obstan a la extradición concedida, y por ello debe mantenerse la resolución en su literalidad”—, se posibilita una integración que permite conocer al demandante de amparo perfectamente los criterios de la decisión que sirven de base a sus alegaciones. Para el Ministerio Fiscal, no sólo no hay ausencia o déficit de motivación o una falta de respuesta, sino, al contrario, se dio una respuesta en la que se exteriorizaron los criterios de resolución justificativos de la decisión adoptada en consonancia con los concretos términos en los que se formuló la queja de vulneración normativa: en efecto, el motivo primero del recurso de súplica dedicó casi cuatro páginas a argumentar la falta de reciprocidad entre Tailandia y España en materia de extradición, pero tan sólo dos párrafos finales de siete líneas a los problemas con la traducción; el demandante puso pues el acento en lo primero, si bien relacionado con lo segundo; y, en un contexto en el que la Sección tercera de la Sala de lo Penal de la Audiencia Nacional había ya resaltado el cumplimiento de los presupuestos de los apartados 1 y 2 del art. 7 LEP (que son lo que especifican lo dispuesto por el art. 278.1.3 LOPJ), no extraña que, reiterando el recurso de súplica los mismos argumentos ya respondidos en la resolución impugnada, el Auto de 12 de julio de 2012 incluyese en un primer orden de alegaciones las referidas a la vulneración del art. 24.1 y 13.3 CE derivada de los defectos de traducción, para a continuación centrarse en la cuestión nuclear del motivo, que era la ausencia de reciprocidad entre España y Tailandia. Se concluye, pues, que lo que el Pleno de la Sala reitera es la validez, a efectos de control en la fase jurisdiccional, de la oferta de reciprocidad articulada como presupuesto de aplicabilidad de la Ley de extradición pasiva como fuente habilitante constitucional que erradica la vulneración del principio de legalidad extradicional (art. 13.3 CE), lo cual constituye la esencia del motivo esgrimido por el demandante de amparo en su recurso de súplica, y que si no hay una respuesta pormenorizada a todos y cada uno de los argumentos dados como fundamento de la pretensión es consecuencia de la falta de relevancia para el Tribunal de los déficits de traducción, dándose que dicha alegación se desestima no de forma tácita, sino con una motivación expresa en el primer Auto e ínsita en el segundo, según se deduce del conjunto de razonamientos que en ella se contienen. Por último, en relación con este motivo de amparo, aduce el Ministerio Fiscal que las resoluciones impugnadas cumplen con los cánones constitucionales de razonabilidad, pues permiten conocer las razones en que se basa la decisión, y que ésta se fundamenta en Derecho, más allá de su acierto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descarta que los hechos anteriores hayan provocado indefensión al demandante, pues no es de recibo alegar que la falta de traducción de la legislación sobre extradición Tailandesa afectó a su derecho de defensa cuando se han aportado traducciones juradas al español de múltiples artículos y supuestos documentos, negándose igualmente que la traducción aportada no satisfaga las exigencias de determinación del mínimo punitivo por encima del año requerido por la ley española a efectos extradicionales.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supuesta falta de respuesta pormenorizada a la denuncia de la falta del requisito de respeto en Tailandia de las garantías del procedimiento y del respeto a los derechos humanos de los arts. 4.6 y 5.1 LEP, que sería también constitutiva de una incongruencia omisiva con relevancia constitucional según la demanda, considera el Fiscal que el Auto de 12 de julio de 2012 ha dado una respuesta muy explícita a dicha pretensión, y tras analizar con detalle la documentación aportada por el ahora demandante de amparo y obrante en las actuaciones sobre la situación penitenciaria en Tailandia, concluye que la decisión de la Audiencia se basa en no entender acreditado la concurrencia de una situación de riesgo de padecer penas o tratos inhumanos o degradantes, pues de dicha documentación se desprende información general y no actualizada al momento en que se ha promovido la extradición, que no concreta los riesgos a los que se expone el demandante, sea por la naturaleza del delito o por su orientación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afectación de los derechos a la vida y a la integridad física, critica el Fiscal la escueta argumentación de la demanda de amparo y su falta de desarrollo, que no se vincula por conexión ni al derecho a la libertad (art. 17 CE) ni al derecho a la libertad de residencia (art. 19 CE). Y, para el caso de que el Tribunal entienda que la demanda se puede reconducir, en este concreto motivo, a si los Autos impugnados satisfacen el deber de motivación reforzada que imponen alegaciones sobre el riesgo a sufrir trato inhumano o degradante (art. 24.1 CE en conexión con el art. 15 CE), se arguye que ese motivo no ha sido invocado por el demandante de amparo, ni en su demanda, ni en el recurso de súplica. Con todo, entiende el Fiscal que ciertamente la valoración de las circunstancias concretas podría haber sido más precisa por la Audiencia en relación con cada uno de los documentos aportados, pero, considerando que los mismos no se refieren a situación actual ni a riesgos concretos relativos al demandante, y la existencia de un convenio bilateral entre Holanda y Tailandia de traslado de presos, efectivo desde el 1 de abril de 2005, que operaría como elemento de neutralización de esa preocupación, se inclina por la desestimación del motivo. En caso de ser estimado por entenderse que no se cumple con el deber de motivación reforzada, lo procedente sería retrotraer las actuaciones al momento procesal oportuno para que la Sala de lo Penal de la Audiencia Nacional se pronuncie de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30 de abril de 2013 se señaló para deliberación y fallo de la Sentencia el día 6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del Pleno de la Sala de lo Penal de la Audiencia Nacional de 12 de julio de 2012, desestimatorio del recurso de súplica interpuesto contra el Auto de la Sección Tercera de la Sala de la misma Sala, de fecha 4 de junio de 2011, dimanante del procedimiento de extradición 2-2012 del Juzgado Central de Instrucción núm. 1, por el que se concede la extradición a las autoridades del Reino de Tailandia del demandante de amparo, un ciudadano de nacionalidad holandesa detenido en la ciudad de Benidorm (Alicante), como consecuencia de una orden internacional de detención emitida por la Corte Criminal de Tailandia en fecha 11 de abril de 2011, por delito de abuso sexual de un menor de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con la argumentación que ha quedado expuesta en los antecedentes de esta resolución, la vulneración de los derechos fundamentales a la tutela judicial efectiva sin indefensión (art. 24.1 CE), en sus vertientes de derecho a la motivación suficiente y a la congruencia de las decisiones judiciales, con afectación del derecho a la vida y a la integridad física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desestimación por entender que no se han producido las vulneraciones denunciadas y que el escrito inicial aporta documentación abundante pero genérica, no siempre autentificada y desfasada en el tiempo de la situación penitenciaria en el Reino de Tailandia, y que no se justifica los concretos riesgos de sufrir un trato inhumano o degradante, alegados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venimos recordando reiteradamente,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de la Ley Orgánica del Tribunal Constitucional (LOTC)” (por todas, SSTC 69/2004, de 19 de abril, FJ 3 y 89/2011, de 6 de junio, FJ 2).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Este requerimiento viene expresamente dispuesto por el art. 44.1 a) LOTC al exigir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examen de las actuaciones remitidas el pasado 21 de noviembre de 2012 por la Sala de lo Penal de la Audiencia Nacional, tras acordarse la admisión a trámite de la presente demanda de amparo, permite constatar una actuación procesal de parte a la que el demandante no ha hecho referencia alguna a lo largo de este proceso de amparo, que permite apreciar la concurrencia de la causa de inadmisión de falta de agotamiento de la vía judicial previa [art. 50.1 a), en relación con el art. 44.1 a) LOTC], por haberse simultaneado el presente recurso de amparo con una solicitud de nulidad de actuaciones presentada contra el mismo Auto de 12 de julio de 2012, impugnado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inadmisión de falta de agotamiento de la vía judicial previa [art. 50.1 a), en relación con el art. 44.1 a) LOTC] tiene su fundamento en la salvaguarda de la naturaleza subsidiaria del amparo, con el fin de evitar que este Tribunal se pronuncie sobre eventuales vulneraciones de derechos fundamentales cuando los órganos judiciales tienen todavía la ocasión de restablecerlos. En relación con ello, se ha destacado que es opuesto al carácter subsidiario de esta jurisdicción constitucional simultanear un recurso de amparo con otro recurso seguido en la vía judicial ordinaria, como ocurre cuando se inicia el proceso de amparo antes de que estén resueltos los recursos interpuestos contra la resolución judicial impugnada en aquella otra vía o cuando, una vez presentada la demanda de amparo, se reabre la vía judicial durante la pendencia del proceso de amparo, aunque la resolución final de la jurisdicción ordinaria sea finalmente desestimatoria (por todas, SSTC 32/2010, de 8 de julio, FJ 2; 105/2011, de 20 de junio, FJ 2 y 199/2012, de 12 de noviembre de 2012,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una vez recibidas las actuaciones judiciales del rollo de Sala núm. 9-2012, en el que se dictó el Auto del Pleno de la Sala de lo Penal de la Audiencia Nacional impugnado en el presente procedimiento constitucional, ha quedado acreditado que el 18 de septiembre de 2012 la representación procesal del demandante de amparo, con asistencia letrada, procedió, al amparo de lo establecido en el art. 241.1 de la Ley Orgánica del Poder Judicial, a solicitar la nulidad del Auto de 12 de julio de 2012 y del Auto de 4 de junio de 2012 recurrido en súplica, alegando la supuesta vulneración de los arts. 24.1 y 2 (derecho a la tutela judicial efectiva y al proceso con todas las garantías sin que se produzca indefensión), art. 24.1 en relación con el art. 15 (derecho a la integridad física y moral) de la Constitución. En el escrito de promoción del incidente se imputan al Auto resolutorio del recurso de súplica las mismas vulneraciones de derechos fundamentales que se invocan en la demanda de amparo (ausencia de respuesta a la denuncia de la falta de traducción de la legislación tailandesa sobre extradición e incongruencia omisiva en relación con la denunciada petición de revocación de la orden de extradición por los riesgos para la integridad física o moral del recurrente), que son las que se imputan al Auto de 4 de junio de 2012, si bien la demanda incidental pretende argumentar que las vulneraciones son novedosas, producidas por vez primera por el Auto de 12 de julio de 2012. Asimismo, en su introito se justifica por el recurrente la procedencia del incidente previo al recurso de amparo, como medio para dar “previamente opción al órgano judicial para la subsanación de las citadas vulneraciones”, antes de la interposición del recurso de amparo. Admitido a trámite, se señaló para la deliberación y decisión del incidente por el Pleno de la Sala el día 10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ahora demandante desistió del incidente de nulidad por escrito de fecha 26 de septiembre de 2012. Pero en el ínterin, mientras se tramitaba la solicitud de nulidad de actuaciones, don Johannes Bloem interpuso ante este Tribunal Constitucional demanda de amparo, mediante escrito registrado el 24 de septiembre de 2012, que fue admitida por providencia de 30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pone de manifiesto que cuando el 24 de septiembre de 2012 se promovió el presente procedimiento de amparo se mantenía abierta la vía judicial previa, merced a la solicitud de nulidad de actuaciones de 18 de septiembre de 2012, de la que desistiría con posterioridad. Como este Tribunal ha puesto de manifiesto en anteriores ocasiones, la fecha en la que se registra en este Tribunal la solicitud de amparo es la que marca el dies ad quem de su interposición (ATC 163/2009, de 21 de mayo, FJ 2). Más recientemente, en la STC 199/2012, de 12 de noviembre, FJ 2, hemos afirmado que “es la fecha en la que se registra en este Tribunal la solicitud de amparo, con o sin simultánea solicitud de designación de Abogado o Procurador de oficio, la que marca el dies ad quem de su interposición”. Ello determina que en el presente caso, y de acuerdo con la doctrina expuesta, concurra el óbice procesal de falta de agotamiento de la vía judicial previa [art. 50.1 a), en relación con el art. 44.1 a) LOTC], al haberse hecho coexistir esta jurisdicción de amparo con la vía judicial ordinaria, “pues con este proceder procesal la demandante compareció ante este Tribunal Constitucional cuando aún no se habían resuelto los medios de impugnación que había puesto en marcha dentro de la vía judicial previa, provocando así la coexistencia temporal de ambos procedimientos, el de la jurisdicción ordinaria y el presente proceso de amparo” (STC 199/2012, de 12 de noviembre, FJ 2). Un defecto insubsanable para cuya determinación, tal y como ha establecido la doctrina de este Tribunal, el momento relevante es “la demanda de amparo, en el momento de su interposición, que es el que se ha de tomar como ‘punto de referencia’” (SSTC 249/2006, de 24 de junio, FJ 2; 242/2007, de 10 de diciembre, FJ 4 y 199/2012, de 12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que antecede resulta procedente dictar Sentencia inadmitiendo el recurso de amparo por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Johannes Bloem.</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