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9 de mayo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3591-2009, planteado por el Consejo de Gobierno de la Comunidad Autónoma de Madrid contra los arts. 3.1 b) y 6 del Real Decreto 2066/2008, de 12 de diciembre, por el que se regula el plan estatal de vivienda y rehabilitación 2009-2012. Ha formulado alegaciones el Abogado del Estado. Ha sido Ponente el Magistrado don Francisco José Hernando Santiago,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17 de abril de 2009 el Letrado de la Comunidad Autónoma de Madrid, en la representación que legalmente ostenta de su Consejo de Gobierno, promueve conflicto positivo de competencia contra los arts. 3.1 b) y 6 del Real Decreto 2066/2008, de 12 de diciembre, por el que se regula el plan estatal de vivienda y rehabilitación 2009-2012. El conflicto se fundamenta en las alegaciones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a los antecedentes del presente conflicto y al cumplimiento de los requisitos procesales para interponerlo, el Letrado de la Comunidad de Madrid se refiere al contenido de la norma impugnada y a los títulos competenciales que entiende afectados en la presente controversia. Así, indica que el Real Decreto 2066/2008 establece una serie de medidas dirigidas al fomento de la vivienda protegida así como a la rehabilitación, amparándose en la competencia estatal en materia de bases y coordinación general de la actividad económica del art. 149.1.13 CE. Para analizar la constitucionalidad de esta disposición, la representación procesal de la Comunidad de Madrid parte del estudio de la distribución competencial en materia de vivienda y de la jurisprudencia constitucional sobre la misma. En este sentido, recuerda que el art. 148.3 CE permite que las Comunidades Autónomas asuman competencias en materia de ordenación del territorio, urbanismo y vivienda y que el art. 26.1.4 del Estatuto de Autonomía de la Comunidad Autónoma de Madrid haya asumido dicha competencia como exclusiva. Seguidamente afirma, con cita de la STC 152/1988, de 20 de julio, que las Comunidades Autónomas pueden desarrollar las bases estatales añadiendo requisitos y, en su caso, financiaciones complementarias, así como, en uso de su competencia exclusiva, crear figuras de protección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la doctrina de la STC 61/1997, de 20 de marzo, a propósito de la regulación del aprovechamiento tipo que establecía el texto refundido de la Ley del suelo de 1992 para favorecer la vivienda protegida, el Letrado de la Comunidad de Madrid añade que la competencia estatal en materia de vivienda al amparo del art. 149.1.13 CE ha de ir referida estrictamente a los fondos estatales que se dediquen al fomento de dicha actividad y en conexión con la incidencia de la misma en la economía nacional. A su juicio, si el título habilitante es la regulación general de la economía de la nación, no parece que ello permita al Estado utilizar otras competencias para fomentar la vivienda protegida ni tampoco establecer normativa en materia de vivienda que carezca de esa necesaria conexión con la economía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establecido, con carácter general, el régimen de distribución de competencias en la materia, el escrito de interposición del conflicto procede a analizar los preceptos del Real Decreto 2066/2008 que son objeto de impugnación. En concreto, son los arts. 3.1 b) (obligación de los solicitantes de vivienda de estar inscritos en un registro público de demandantes) y 6 (duración del régimen de protección). Así, respecto al art. 3.1 b), señala que, en cuanto exige para acceder a las viviendas y a la financiación prevista en el Real Decreto que los demandantes estén inscritos en un registro público creado y gestionado de conformidad con lo que disponga la normativa de las Comunidades Autónomas, se vulneran las competencias de la Comunidad Autónoma de Madrid en cuanto no se acierta a comprender la conexión de dicha medida con la economía de la nación, que es la competencia ejercitada por el Estado, a diferencia de lo que ocurre con el resto de requisitos del citado precepto que aluden a la situación económica y patrimonial de los solicitantes. Añade que las competencias estatales de carácter horizontal, como la planificación general de la actividad económica, han de interpretarse de una manera estricta, ya que de lo contrario supondrían una habilitación general al Estado para intervenir en cualquier materia, de tal forma que se vaciaría de sentido la atribución a las Comunidades Autónomas de una competencia específica sobre una materia. Además, señala que este criterio restrictivo de la competencia estatal sobre planificación general de la economía se reitera, entre otras, en las SSTC 44/1982, de 8 de julio; 11/1984, de 2 de febrero; 76/1984, de 29 de junio; 37/1987, de 26 de marzo; 112/1995, de 6 de julio y 45/2001, de 15 de febrero. En base a esta doctrina, considera el Letrado de la Comunidad de Madrid que resulta cuando menos difícil ver una relación directa e inmediata entre la creación de un registro de demandantes de viviendas y la planificación general de la economía nacional. Por ello, a su juicio no puede defenderse que la imposición de la creación de un registro esté comprendida en lo básico ya que más bien representa un mecanismo de control del sistema de concesión de viviendas protegidas cuya articulación debería quedar a la decisión exclusiva de las Comunidades Autónomas en virtud de sus competencias en materia de vivienda, e inclusive se podría citar su competencia de autoorganización.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art. 6 estima que vulnera las competencias de la Comunidad Autónoma de Madrid en materia de urbanismo pues el precepto condiciona los usos que la Comunidad Autónoma en su normativa urbanística establece para los suelos y afecta a su política urbanística ya que, al establecer dicho precepto una reserva del 50 por 100 para vivienda protegida, ello puede originar una trama urbana con una altísima proporción de vivienda protegida congelada, afectando así al modelo de ciudad que la Comunidad Autónoma, en el uso de su competencia en materia de urbanismo, puede querer configurar. Pero además de esa vulneración de las competencias autonómicas en materia de urbanismo, a su juicio se lesiona igualmente la competencia en materia de vivienda porque si el Gobierno central establece una calificación perpetua de las viviendas protegidas construidas en suelos destinados por el planeamiento a vivienda protegida, ello supone congelar dichos suelos permanentemente, sin posibilidad de que esas viviendas se descalifiquen, con lo cual el precepto estatal desvirtúa los deseos del legislador madrileño al fijar una reserva del suelo del 50 por 100. Afirma el Letrado de la Comunidad Autónoma de Madrid que la legislación básica ha de permitir siempre a las Comunidades Autónomas un margen de desarrollo de la materia y este margen no se respeta al establecer el carácter perpetuo de la calificación de la vivienda. Considera también que al establecerse una calificación perpetua de las viviendas se está procediendo a vaciar la competencia autonómica en materia de vivienda ya que la Comunidad Autónoma ha de establecer forzosamente la calificación permanente para estas viviendas cuando la normativa autonómica utiliza el plazo en el que las viviendas han de estar protegidas como un instrumento de política de vivienda. A su entender, se produce así un bloqueo de las competencias autonómicas que el Tribunal Constitucional ha rechazado en numerosas ocasiones, entre otras, en la STC 133/1997, de 16 de julio (FJ 4). Concluye afirmando que el hecho de que las viviendas no puedan desclasificarse jamás constituye una medida de política de vivienda más que una medida de política económica, pero que vulnera las competencias autonómicas en materia de vivienda y en materia de urbanismo al condicionar las reservas de suelo destinado a vivienda protegida y los suelos dotacionales públicos que establece la normativa urbanística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suplica la estimación del conflicto declarando que las competencias controvertidas corresponden a la Comunidad Autónoma de Madrid y que el Real Decreto 2066/2008, de 12 de diciembre, objeto del presente conflicto, vulnera esas competencias al impedir su ejercicio por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5 de mayo de 2009 el Pleno del Tribunal, a propuesta de la Sección Cuarta, acordó admitir a trámite el presente conflicto; dar traslado de la demanda y documentos presentados al Gobierno de la Nación, al objeto de presentar alegaciones en el plazo de veinte días; comunicar la incoación del conflicto a la Sala de lo Contencioso-Administrativo del Tribunal Supremo, por si ante la misma estuvieran impugnados o se impugnaren los citados preceptos, en cuyo caso se suspenderá el curso del procedimiento hasta la decisión del conflicto, según dispone el art. 61.2 de la Ley Orgánica del Tribunal Constitucional (LOTC), y publicar la incoación del conflicto en el “Boletín Oficial del Estado” y en el “Boletín Oficial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13 de mayo de 2009 el Abogado del Estado se personó en el proceso solicitando una prórroga del plazo concedido para formular alegaciones, prórroga que le fue concedida mediante providencia de 14 de mayo de 2009. El escrito de alegaciones del Abogado del Estado se registró el día 23 de junio de 2009. En dicho escrito se opone a la demanda por las razones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tras realizar un planteamiento general sobre el objeto del conflicto, examina si, al amparo de la doctrina constitucional, la actuación del Estado se halla justificada por la competencia que el art. 149.1.13 CE le atribuye sobre las bases y coordinación de la planificación general de la actividad económica. Recuerda que la ordenación y promoción de sectores económicos como competencia integrante del título estatal relativo a la planificación general de la actividad económica ha sido objeto de numerosa jurisprudencia constitucional, en la que a su vez ha sido una constante la exigencia de una cierta relevancia económica para justificar que una norma estatal pueda ampararse en la competencia relativa a la “planificación general de la actividad económica”. Como ejemplo de Sentencias que realizan ese control de relevancia económica, el Abogado del Estado cita las SSTC 152/1988, de 20 de julio, 59/1995, de 17 de marzo, y 61/1997, de 20 de marzo; afirma que la jurisprudencia constitucional ha reconocido la competencia del Estado para ordenar y proteger el subsector vivienda, con base en su especial incidencia en la economía española. A su juicio, resulta innegable que el subsector de la vivienda tiene un peso significativo en la economía nacional, en general, y en el sector de la construcción, en particular, y que la tarea estatal de fomento en materia de vivienda se encuentra respaldada por el título competencial a que se refiere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analiza la constitucionalidad de los preceptos impugnados. En primer lugar, señala que lo establecido en las disposiciones recurridas no son prescripciones de necesaria aplicación, sino que únicamente resultarán de observancia obligatoria para las Comunidades Autónomas que así lo decidan, optando por que en su territorio puedan obtenerse tales ayudas estatales y financiación convenida. Tras esta afirmación pasa a analizar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3.1 b) señala que se trata de un precepto en el que no se regula un registro único de demandantes, sino que se limita a prever su creación y contenido básico, con lo que traslada a cada Comunidad Autónoma la obligación de instaurar estos registros, pero sin entrar en aspectos de gestión de los mismos, declarando de forma expresa que la gestión de estos registros de carácter público o equivalentes corresponderá a cada Comunidad Autónoma, de acuerdo con su normativa propia. Añade que el señalamiento de los requisitos mínimos que los eventuales beneficiarios han de cumplir para poder acceder a las ayudas estatales constituye uno de los elementos esenciales del ámbito de protección que puede reservarse el Estado. En última instancia, es uno de los instrumentos más útiles para conseguir delimitar el destino de las cantidades que el Estado aporta para la protección a la promoción de viviendas y su adquisición. La normativa estatal no sólo determina las actuaciones protegibles a las que se destinan los fondos aportados, sino también las características de las personas que pueden acceder a las ayudas. En este sentido, sostiene que partiendo de admitir que las condiciones generales de los demandantes de vivienda y financiación constituyen elemento esencial para el cumplimiento de los objetivos en materia de vivienda propuestos por el Estado al recoger la articulación jurídica de las ayudas económicas programadas, el contenido del precepto impugnado ha de ser considerado básico y, concretamente, la inscripción en un registro público de demandantes que sin duda resulta igualmente indispensable para el eficaz cumplimiento de los objetivos estatales. En consecuencia, señala que en tanto la consideración de la vivienda como protegida entra en la definición misma de las actuaciones protegibles, el establecimiento de un registro de demandantes o solicitantes de vivienda protegida contribuye a aportar datos esenciales para la determinación básica de dichas actuaciones. Para el Abogado del Estado se trata de garantizar que el subsector protegido de vivienda, además de mantener las características que lo definen normativamente como tal, se consolide en los mercados de vivienda como una opción eficaz y creíble para satisfacer adecuadamente las necesidades de alojamiento de la población, especialmente la de ingresos medios y bajos, actuando a su vez como contrapeso y elemento moderador de las grandes fluctuaciones de precios que pueden aquejar a los mercados de vivienda. Considera que el registro público de demandantes constituye un mecanismo de asignación de beneficiarios de las viviendas protegidas que contribuye a evitar la posibilidad de que por los vendedores de dichas viviendas se exijan precios superiores a los administrativamente fijados. Es decir, con la inscripción de los demandantes en los registros públicos se trata de obviar la aplicación de sobreprecios ilegales a las viviendas incluidas en el subsector protegido. Por ello, insiste el Abogado del Estado, el registro de demandantes tiene una incidencia directa sobre la caracterización del subsector protegido de vivienda que a su vez presenta un importante papel potencial en el equilibrio de los mercados de vivienda, factor clave en la política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señala el Abogado del Estado que los registros públicos de demandantes ya estaban establecidos en el Real Decreto 801/2005, de 1 de julio, por el que se aprobó el anterior plan estatal de vivienda 2005-2008, en respuesta a la voluntad de determinadas Comunidades Autónomas de satisfacer, desde una norma estatal, su deseo de conocimiento, estructuración y ordenación de la demanda de vivienda de protección oficial en los distintos ámbitos territoriales, al objeto de que las Administraciones públicas más directamente afectadas tuvieran oportuna información tanto de la demanda real existente en su territorio como de las condiciones sociales y económicas de los eventuales demandantes de este tipo de viviendas. En todo caso, destaca que la ponderación de la constitucionalidad del art. 3.1 b) del Real Decreto 2066/2008 debe hacerse sobre la base de los criterios ampliamente reiterados por este Tribunal en relación con los registros estatales, singularmente la STC 197/1996, de 28 de noviembre, que recopila la doctrina anteriormente recaída en numerosos pronunciamientos. A la vista de dicha jurisprudencia sostiene que difícilmente puede aceptarse la imputación de inconstitucionalidad que se dirige contra el art. 3.1 b), pues si este Tribunal Constitucional ha declarado conforme con el orden constitucional de distribución de competencias la existencia de un registro único para todo el Estado en aquellos ámbitos materiales sobre los que el mismo ostente competencias legislativas básicas, no parece que pueda negarse la constitucionalidad de la mera previsión básica de existencia de registros autonómicos, cuya creación y gestión se encomienda expresamente a las distintas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6, señala el Abogado del Estado que pese a que formalmente constituye objeto de impugnación en el presente conflicto la totalidad del precepto, el escrito rector de este proceso únicamente razona sobre la inconstitucionalidad de su apartado 1. Destaca que el art. 6 se dirige a fijar las condiciones que vinculan la financiación con fondos públicos del Estado de determinadas viviendas y alojamientos que desean acogerse a aquéllos, lo que permite afirmar que nos encontramos realmente ante un asunto económico y no urbanístico, que por ello difícilmente puede llegar a condicionar las competencias urbanísticas de la Comunidad Autónoma. Por tanto, a su juicio, la cuestión parece circunscribirse al plazo de treinta años que establece el art. 6.1 y que constituye el requisito mínimo temporal a cumplir, incluso cuando las correspondientes condiciones urbanísticas hubieran ya desaparecido.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que la medida cuya constitucionalidad se cuestiona no tiene carácter novedoso sino que viene a intensificar una tendencia normativa que parte del plan de vivienda 2002-2005 con el que se trata de lograr una mayor estabilidad en la permanencia del régimen de las viviendas protegidas, y no prohibiendo las transacciones, sino fijándoles precios máximos y limitándolas a ocupantes con determinadas características. Añade que, en todo caso, la facultad de fijación del plazo para descalificar una vivienda dotada de protección ha de estimarse incluida dentro de la facultad estatal para determinar la regulación esencial del nivel de protección que se pretenda ofrecer en cada caso y que, como ha señalado la STC 152/1988, de 20 de julio, FJ 4, constituye una de las actuaciones que el Estado puede llevar a cabo en materia de financiación de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que el plan estatal de vivienda sólo establece condiciones de financiación para las actuaciones previstas en el mismo, que además vayan a contar con financiación procedente de dicho plan. Esto es, sus prescripciones limitan su eficacia a las viviendas “que se acojan a la financiación de este Plan”, dictadas por el Estado al amparo de sus competencias, sin condicionar la política de vivienda que puedan desplegar las Comunidades Autónomas mediante sus propios programas. Por ello, afirma que la disposición impugnada permite su desarrollo por las Comunidades Autónomas, pudiendo establecer un plazo superior para autorizar la descalificación voluntaria.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afirma que si las ayudas van destinadas a mejorar el acceso y uso de la vivienda a los ciudadanos con especiales dificultades económicas, la fijación de mínimos temporales no persigue sino que la financiación de vivienda protegida se destine realmente a crear vivienda protegida, sin que se desvirtúe en último término el sentido de la subvención, por cuanto es evidente que cada vivienda protegida que se descalifique hará perder la finalidad del dinero público que se le destinó, y al pasar al mercado libre, contribuirá a favorecer un proceso dirigido a la especulación. En definitiva, a su juicio, y partiendo de admitir que la limitación temporal en la descalificación voluntaria de las viviendas protegidas que hayan gozado de ayudas públicas conforme al plan estatal no constituye una regla urbanística, sino que se trata de una medida básica de política económica que se inserta en la política de vivienda, resulta innegable la cobertura competencial que el art. 6 impugnado encuentra en el art. 149.1.13 CE. Afirma que la incidencia directa y significativa de la medida incluida en el art. 6, en el sector económico, en la lucha contra la especulación y en la efectividad del derecho a la vivienda para los colectivos más desfavorecidos, resulta incuestionable. Añade que la regulación de las limitaciones a la propiedad obtenida con la financiación cualificada ha de considerarse de carácter básico, puesto que configura uno de los aspectos esenciales de la política de vivienda establecida por el Estado, al tratarse de una auténtica contrapartida de los beneficios obtenidos que garantiza el cumplimiento de los propios fines pretendidos con el establecimiento de estas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señala que la ausencia de argumentación en el escrito de demanda sobre la constitucionalidad del apartado 2 del art. 6, exime a esa representación de la defensa de dicho apartado, al desconocerse los motivos en los que la parte actora fundamentara una posible vulneración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mayo de 2013, se acordó señalar para deliberación y votación de la presente Sentencia el día 9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 El presente proceso constitucional tiene por objeto resolver el conflicto positivo de competencia promovido por el Consejo de Gobierno de la Comunidad de Madrid contra los arts. 3.1 b) y 6 del Real Decreto 2066/2008, de 12 de diciembre, por el que se regula el plan estatal de vivienda y rehabilitación 2009-2012.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Consejo de Gobierno de la Comunidad Autónoma de Madrid los arts. 3.1 b) y 6 del Real Decreto 2066/2008 vulneran sus competencias exclusivas en materia de vivienda y urbanismo, pues ni la obligación de los solicitantes de vivienda de estar inscritos en un registro público de demandantes [art. 3.1 b)], ni la fijación de un plazo de duración mínimo al régimen de protección pública de las viviendas (art. 6), tienen conexión con la competencia estatal en materia de bases y coordinación general de la actividad económica del art. 149.1.13 CE, que es el título competencial en el que se ampara la citada norma para establecer una serie de medidas dirigidas al fomento de la vivienda protegida. Por el contrario, el Abogado del Estado sostiene que ambos preceptos tienen una incidencia directa y significativa en el sector económico en atención a la necesidad de garantizar el subsector protegido de vivienda que a su vez presenta un importante papel potencial en el equilibrio de los mercados de vivienda, factor clave en la política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que se enfrentan en este proceso, resulta conveniente realizar algunas precisiones de orden procesal, antes de proceder al examen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es preciso determinar la vigencia de la controversia competencial en los términos en que ha sido planteada, a la vista de las modificaciones operadas en el Real Decreto 2066/2008, por el Real Decreto 1961/2009, de 18 de diciembre, que introduce nuevas medidas transitorias en el plan estatal de vivienda y rehabilitación 2009-2012, y por el Real Decreto 1713/2010, de 17 de diciembre, que modifica el Real Decreto 2066/2008, de 12 de diciembre. Pues bien, ninguna de estas modificaciones ha afectado a los artículos frente a los que se ha interpuesto el presente conflicto positivo de competencia, por lo que debemos entender que el conflicto pervive en los términos en que ha sido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mismo, debe tenerse en cuenta que el plan estatal de vivienda 2009-2012 no ha sido derogado por el Real Decreto 233/2013, de 5 de abril, por el que se regula el plan estatal de fomento del alquiler de viviendas, la rehabilitación edificatoria y la regeneración y renovación urbanas, 2013-2016, sino que ha concluido el período para cuya eficacia fue aprobado, a lo que se añade, tal y como hemos señalado en relación con las normas reguladoras de ayudas públicas y con las leyes de presupuestos, que “excluir la posibilidad de examen constitucional en estos supuestos ‘sería tanto como negar la posibilidad de control por este Tribunal Constitucional de determinadas normas con vigencia limitada en el tiempo ... creándose así un ámbito normativo (estatal o autonómico) inmune al control de la jurisdicción constitucional’ (por todas, STC 13/2007, de 18 de enero, FJ 1)” (STC 197/2012, de 6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 en segundo lugar, debemos delimitar el objeto del presente conflicto positivo de competencias. En efecto, pese a que formalmente constituye el objeto de la impugnación la totalidad del art. 6, el escrito de interposición del conflicto de competencias únicamente aporta argumentos suficientes en relación con los motivos o causas de la infracción de su apartado 1. Por tanto, habremos de atenernos a la doctrina que hemos mantenido en supuestos similares, según la cual “no basta la mera invocación formal de los preceptos en la demanda (STC 98/1989, FJ 5) o incluso, como sucede en este caso, la existencia en la misma de una solicitud expresa de su declaración de inconstitucionalidad, para que este Tribunal deba pronunciarse sobre todos y cada uno de ellos, sino que es preciso, además, que en el cuerpo del recurso se contenga la argumentación específica o razonamientos que fundamenten la presunta contradicción de éstos con la Norma fundamental [SSTC 146/1994, FJ 7 B); 214/1994, FJ 3; 195/1998, FJ 1]. Efectivamente, hemos de recordar aquí una vez más que la impugnación de las normas debe ir acompañada de la preceptiva fundamentación y precisión que permitan al Abogado del Estado, al que asiste, como parte recurrida, el derecho de defensa, así como a este Tribunal, que ha de pronunciar la Sentencia, conocer las razones por las que los recurrentes entienden que las disposiciones impugnadas transgreden el orden constitucional (SSTC 118/1996, FJ 2; y 118/1998, FJ 4).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(STC 233/1999,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objeto del presente proceso queda delimitado a los arts. 3.1 b) y 6.1 del Real Decreto 2066/2008.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Real Decreto 2066/2008, de 12 de diciembre regula el plan estatal de vivienda y rehabilitación 2009-2012, que prevé la concesión de una serie de ayudas a quienes cumplan los requisitos previstos en la norma, para la promoción de viviendas protegidas de nueva construcción, o procedentes de la rehabilitación, destinadas a la venta, al uso propio o al arrendamiento, para el alquiler de viviendas nuevas o usadas, libres o protegidas destinadas a vivienda habitual del arrendatario, para la rehabilitación de conjuntos históricos, centros urbanos, barrios degradados y municipios rurales, para la mejora de la eficiencia energética y de la accesibilidad y la utilización de energías renovables, para la adquisición y urbanización de suelo para vivienda protegida y para la gestión del plan y la información a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 del Real Decreto 2066/2008 establece en qué consistirán las ayudas del plan. Este artículo ha sido modificado por el Real Decreto 1713/2010, de 17 de diciembre, para adaptarlo a los nuevos requerimientos de contención del gasto público y consolidación fiscal derivados de la crisis económica, y ha suprimido la ayuda estatal directa a la entrada. Así, tras dicha supresión, las ayudas financieras del plan consistirán en subsidios de préstamos convenidos y subvenciones. Ambas modalidades de ayuda encajan en la categoría de la subvención pues, siguiendo la definición que de subvención recoge el art. 2 de la Ley 38/2003, de 17 de noviembre, general de subvenciones, nos encontramos ante una disposición dineraria realizada por una Administración pública a favor de personas públicas o privadas, sin contraprestación directa de los beneficiarios, pero sujeta a la ejecución de un proyecto, como la construcción o rehabilitación de una vivienda, o la realización de una determinada actividad, como la adquisición o el arrendamiento de una vivienda, con el objeto de promover la realización de una finalidad pública, cual es la efectividad del derecho a la vivienda reconocido en el art. 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la resolución de las controversias que se suscitan respecto a la regulación y aplicación de las ayudas y subvenciones que puedan establecerse en las áreas o segmentos de la acción pública, hemos de partir de la distribución de competencias existente en la materia constitucional en la que proceda encuadrar las subvenciones de que se trate. Por ello, la resolución del presente conflicto exige comenzar por el encuadramiento competencial de las ayudas reguladas, a fin de determinar, si a la vista de las competencias del Estado y de la Comunidad Autónoma de Madrid, se ha producido la vulneración competencial denunciada, tomando como parámetro sustantivo la doctrina constitucional, especialmente la recogida en la STC 13/1992, de 6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2066/2008, de 12 de diciembre, se aprueba al amparo de lo dispuesto en el art. 149.1.13 CE, que atribuye al Estado competencia exclusiva en materia de bases y coordinación de la planificación general de la actividad económica, excepto el art. 7 y la disposición adicional cuarta, que se dictan al amparo de lo dispuesto en el art. 149.1.18 CE, que atribuye al Estado la competencia exclusiva de ordenación de los registros e instrumentos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148.1.3 CE permite que las Comunidades Autónomas asuman competencias en materia de ordenación del territorio, urbanismo y vivienda. En este sentido el art. 26.1.4 del Estatuto de Autonomía de la Comunidad de Madrid, aprobado por Ley Orgánica 3/1983, de 25 de febrero, ha asumido dicha competencia como exclusiva. Ahora bien esto no quiere decir que el Estado carezca de todo mecanismo de intervención en materia de urbanismo y vivienda. En efecto, en materia de vivienda, la evidente conexión del mercado inmobiliario con la economía nacional ha posibilitado que el Estado siga ejercitando una función de fomento de dicha actividad y así lo ha reconocido este Tribunal en su Sentencia 152/1988, de 20 de julio. En efecto, según la citada Sentencia la competencia autonómica en materia de vivienda se halla limitada por las competencias del Estado sobre las bases y coordinación de la planificación general de la actividad económica. Tanto el art. 149 de la Constitución como los Estatutos de Autonomía “dejan a salvo las facultades de dirección general de la economía y, por tanto, de cada uno de los sectores productivos, que han de quedar en poder de los órganos centrales del Estado. En consecuencia, dentro de la competencia de dirección de la actividad económica general tienen cobijo también las normas estatales que fijen las líneas directrices y los criterios globales de ordenación de sectores económicos concretos, así como las previsiones de acciones o medidas singulares que sean necesarias para alcanzar los fines propuestos dentro de la ordenación de cada sector. Este razonamiento es también aplicable al sector de la vivienda, y en particular, dentro del mismo, a la actividad promocional, dada su muy estrecha relación con la política económica general, en razón de la incidencia que el impulso de la construcción tiene como factor del desarrollo económico y, en especial, como elemento generador de empleo” (STC 152/1988, de 20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la STC 152/1988, de 20 de julio, distingue en su fundamento jurídico 4 cuatro aspectos en los cuales se puede admitir la competencia estatal de fomento en materia de vivienda: la definición de las actuaciones protegidas; la regulación esencial de las fórmulas de financiación adoptadas (créditos cualificados, subsidiación de préstamos y subvenciones); el nivel de protección; y, la aportación de recursos estatales. En consecuencia, “la regulación estatal de cada uno de estos cuatro aspectos no invade competencia autonómica alguna, pues se halla legitimada por lo dispuesto en el art. 149.1.13 CE”. Ahora bien, “ello no significa que las Comunidades Autónomas con competencias en materia de vivienda hayan de quedar absolutamente desprovistas de cualquier atribución por lo que se refiere a las actuaciones protegibles en el sector. Por un lado, es evidente que, en función de aquellas competencias estatutarias, pueden definir y llevar a cabo una política de vivienda propia, complementando las actuaciones de protección y promoción previstas por el Estado, con cargo a sus propios recursos ... Pero además, para la ejecución de la normativa estatal reguladora de las actuaciones protegibles que, como diremos más adelante, les corresponde, las Comunidades Autónomas deben contar con un margen de libertad de decisión que les permita aplicar las medidas estatales adaptándolas a las peculiares circunstancias de su territorio, sin perjuicio del respeto debido a los elementos indispensables que las normas estatales arbitran para alcanzar los fines de política económica general propuestos. Sólo de esta manera es posible conciliar el ejercicio de las competencias del Estado sobre la planificación y coordinación en el sector económico de la vivienda, incluida la utilización instrumental de sus competencias sobre las bases de ordenación del crédito, con las competencias autonómicas en materia de vivienda. Así, si las primeras legitiman una intervención del Estado que condiciona en parte la globalidad de la política de vivienda de cada Comunidad Autónoma, dicha intervención no puede extenderse, so pretexto de un absoluto igualitarismo, a la regulación de elementos de detalle de las condiciones de financiación que la priven de toda operatividad en determinadas zonas del territorio nacional. Antes bien, a las Comunidades Autónomas corresponde integrar en su política general de vivienda las ayudas reguladas por el Estado para el cumplimiento de las finalidades a que responden, con capacidad suficiente para modalizar, en su caso, las reglas generales, al objeto de conseguir una sustancial igualdad de resultados.”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se han pronunciado las SSTC 59/1995, de 17 de marzo, y 61/1997, de 20 de marzo, al admitir la facultad estatal de intervenir en materia de vivienda amparándose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materia de urbanismo la STC 61/1997, de 20 de marzo, FJ 6 b) ha señalado que “la competencia autonómica exclusiva sobre urbanismo ha de integrarse sistemáticamente con aquéllas otras estatales que, si bien en modo alguno podrían legitimar una regulación general del entero régimen jurídico del suelo, pueden propiciar, sin embargo, que se afecte puntualmente a la materia urbanística (establecimiento de las condiciones básicas que garanticen la igualdad en el ejercicio del derecho de propiedad urbana, determinados aspectos de la expropiación forzosa o de la responsabilidad administrativa)”. Tres son, por tanto, las competencias estatales más importantes mediante las cuales puede el Estado incidir legítima y puntualmente sobre la materia de urbanismo: la propiedad urbana, la expropiación forzosa y la responsabilidad administrativa. Es cierto que hay otras competencias que también podrán incidir de algún modo sobre el urbanismo. Entre ellas cabe destacar la competencia sobre las bases y coordinación general de la actividad económica, aunque la invocación de este título competencial estatal sólo podrá legitimarse si la norma de que se trate responde efectiva y estrictamente a la dirección general de la economía. Así lo hemos afirmado en la citada STC 61/1997, FJ 36, al señalar que el problema radica en determinar el alcance del art. 149.1.13 CE “cuando, como es el caso, incide sobre una competencia autonómica sectorial, porque, como hemos reiterado, ‘cuando el Estado se apoya en un título tan genérico como es el de bases y coordinación de la planificación de la actividad económica frente a la competencia exclusiva... de las Comunidades Autónomas, no puede, salvo cualificadas excepciones, continuar operando con todos los instrumentos de los que disponía con anterioridad a la descentralización del mismo, incidiendo continua y diariamente en una materia que ha quedado ampliamente fuera de su competencia...’ (STC 213/1994, FJ 10). Por lo que aquí interesa, tal inteligencia restrictiva del art. 149.1.13 CE cuando afecta a la competencia urbanística de las Comunidades Autónomas ha de verse complementada además por una interpretación finalista o teleológica, de modo que tan sólo aquellas normas básicas que respondan efectiva y estrictamente a la planificación general de la actividad económica podrían encontrar cobijo en el referido título, que impide la producción de normas que, aunque relacionadas con esa planificación general, no guarden esa inmediata y directa relación con la dirección de la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pues, en un ámbito material en el que el diseño del texto constitucional propugna un equilibrio entre los diferentes sujetos constitucionales en presencia, que deberán repartirse facultades sin en ningún caso anular a los otros y teniendo siempre presente la necesidad de cooperación entre ellos. Por ello lo que debemos comprobar acto seguido es si, en los concretos preceptos del Real Decreto 2066/2008 frente a los que se interpone el presente conflicto positivo de competencia, el Estado se ha excedido en el ejercicio de las competencias que le reconoce el art. 149.1.13 CE, invadiendo, por tanto, las competencias de la Comunidad Autónoma de Madrid en materia urbanística y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STC 136/2009, de 15 de junio, FJ 3, remitiéndose expresamente a la STC 13/1992, de 6 de febrero, cuando las Comunidades Autónomas tienen atribuidas competencias sobre la materia objeto de la subvención, nuestra doctrina ha distinguido entre: a) supuestos en los que el Estado no invoca título competencial alguno, mientras que la Comunidad Autónoma ostenta competencia exclusiva sobre una determinada materia; b) aquellos en los que el Estado dispone de un título genérico, básico o de coordinación, correspondiendo a la Comunidad Autónoma la competencia de desarrollo legislativo y de ejecución; c) casos en los que el Estado tiene atribuida la competencia sobre la legislación relativa a una materia, cuya ejecución corresponde a la Comunidad Autónoma; y d) supuestos de competencia exclusiva de la Comunidad Autónoma, pero en los que concurren circunstancias excepcionales que determinan que la gestión de las ayudas pueda ser realizada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los títulos competenciales estatales y autonómicos que resultan de aplicación en esta materia, nos encontramos en el ámbito de lo dispuesto en el fundamento jurídico 8 b) de la meritada STC 13/1992, que concurre cuando el Estado ostenta un título competencial genérico de intervención que se superpone a la competencia de las Comunidades Autónomas sobre una materia, aun si ésta se califica de exclusiva, o bien tiene competencia sobre las bases o la coordinación general de un sector o materia, correspondiendo a las Comunidades Autónomas las competencias de desarrollo normativo y de ejecución, incluyendo en las mismas las relacionadas con la gestión de los fondos. En estos supuestos “el Estado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[STC 13/1992, FJ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primer precepto impugnado es el art. 3.1 b). El art. 3 establece las condiciones generales que deberán reunir los demandantes de viviendas y financiación acogidos al Real Decreto 2066/2008, sin perjuicio de las que puedan establecer adicionalmente las Comunidades Autónomas. Así, entre dichas condiciones generales el apartado b) exige “estar inscrito en un registro público de demandantes, creado y gestionado de conformidad con lo que disponga la normativa de las Comunidades Autónomas y ciudades de Ceuta y Melilla sin perjuicio de lo dispuesto en la Disposición Transitoria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de este conflicto de competencias considera que este requisito es vulnerador de las competencias autonómicas en materia de vivienda en tanto no se acierta a comprender la conexión de dicha medida con la economía de la Nación, que es la competencia ejercitada por el Estado, a diferencia de lo que ocurre con el resto de los requisitos del citado precepto que aluden a la situación económico-patrimonial de los solicitantes. Por el contrario, para el Abogado del Estado basta hacer una lectura del precepto para comprobar que se trata de un artículo en el que no se regula un registro único de demandantes, sino que se limita a prever su creación y contenido básico (demandantes o solicitantes de vivienda protegida), con lo que traslada a cada Comunidad Autónoma la obligación de instaurar estos registros, declarando de forma expresa que la gestión de los mismos de carácter público o equivalentes corresponderá a cada Comunidad Autónoma de acuerdo con su normativa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registros públicos de demandantes fueron establecidos por primera vez en el Real Decreto 801/2005, de 1 de julio, por el que se aprobó el plan estatal de vivienda 2005-2008. En este sentido, el art. 13.7 del citado real decreto establecía que “la venta y adjudicación de las viviendas acogidas a este Real Decreto habrá de efectuarse a demandantes inscritos en los registros públicos previstos al efecto por las Comunidades Autónomas y Ciudades de Ceuta y Melilla, según los procedimientos que éstas regulen, que, en todo caso, deberán garantizar los principios de igualdad, publicidad, concurrencia, así como eliminar cualquier tipo de fraude en las primeras y posteriores transmisiones. No obstante ello, los convenios de colaboración con las Comunidades Autónomas y Ciudades de Ceuta y Melilla previstos en el artículo 78 de este Real Decreto, podrán prever otros procedimientos, que garanticen los principios citados en el párrafo anterior y de ellos se dará cuenta a las Comisiones Bilaterales de Seguimiento.”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diferencia con el plan estatal de vivienda 2009-2012 radica en que las Comunidades Autónomas podían prever otros procedimientos, distintos a la creación de un registro público, siempre y cuando garantizaran los principios de igualdad, publicidad y concurrencia. Concretamente, la Comunidad Autónoma de Madrid ya tenía instrumentado un sistema alternativo al registro público de demandantes, cual es la lista única de solicitantes de vivienda pública para arrendamientos con opción de compra para jóvenes, establecido por la Orden 3766/2005, de 7 de septiembre, y el registro de solicitudes de vivienda pública, previsto en el Decreto 19/2006, de 9 de febrero, por el que se regula el procedimiento de adjudicación de viviendas de titularidad del Instituto de la Vivienda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del Real Decreto 2066/2008 objeto de conflicto incluye entre los objetivos a alcanzar por el plan estatal de vivienda y rehabilitación 2009-2012, “establecer las condiciones que garanticen a los ciudadanos el acceso a la vivienda en condiciones de igualdad, impulsando la creación de registros públicos de demandantes de vivienda acogida a algún régimen de protección pública y que toda la producción de viviendas protegidas sea adjudicada con criterios de transparencia, publicidad y concurrencia, controlados por la administración pública”. Por su parte, también la disposición transitoria sexta, a la que se refiere el precepto impugnado, destaca la observancia de tales principios en la venta y adjudicación de viviendas protegidas, al señalar que “los registros públicos de demandantes a que se refiere este Real Decreto deberán estar en funcionamiento en el plazo de un año desde la publicación de aquél en el ‘Boletín Oficial del Estado’. Hasta ese momento, la venta y adjudicación de las viviendas en primeras y posteriores transmisiones se regulará por lo que disponga la normativa propia de las Comunidades Autónomas y ciudades de Ceuta y Melilla que, en todo caso, deberá garantizar los principios de igualdad, publicidad y concurrencia e impedir el fraude en las primeras y posteriores transmisiones.”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registro se crea, por tanto, como un instrumento adecuado para dotar a las adjudicaciones de viviendas protegidas de la máxima transparencia y rigor. En efecto, el registro público de demandantes constituye un mecanismo de asignación de beneficiarios de las viviendas protegidas que contribuye a evitar la posibilidad de que por los vendedores de dichas viviendas se exijan precios superiores a los administrativamente fijados. Así, la venta y adjudicación de las viviendas acogidas a la financiación del plan estatal de vivienda sólo podrá efectuarse a demandantes inscritos en los registros públicos previstos al efecto por las Comunidades Autónomas y ciudades de Ceuta y Melilla [art. 5.1 d)]. Como señala el Abogado del Estado, con la inscripción de los demandantes en los registros públicos se pretende obviar la aplicación de sobreprecios ilegales a las viviendas incluidas en el subsector protegido. De este modo se garantiza que el subsector protegido de vivienda, además de mantener las características que lo definen normativamente como tal, se consolide en los mercados de vivienda como una opción eficaz y creíble para satisfacer adecuadamente las necesidades de alojamiento de la población, especialmente la de ingresos medios y bajos, actuando a su vez como contrapeso y elemento moderador de las grandes fluctuaciones de precios que pueden aquejar a los mercados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obligación de inscripción en el correspondiente registro guarda directa relación con la dirección de la economía al constituir un elemento esencial de la finalidad que persigue la concesión de las correspondientes ayudas y una garantía fundamental para su efectividad. La inscripción en un registro público de demandantes resulta uno de los elementos más útiles para el eficaz cumplimiento de los objetivos estatales perseguidos con la concesión de ayudas económicas para la promoción de viviendas y su adquisición ya que a través de dicho registro se trata de asegurar el destino de las cantidades aportadas. Como señalamos en la STC 15/1989, 26 de enero, en relación con la obligatoria inscripción de las asociaciones de consumidores y usuarios que quisieran gozar de los beneficios previstos en una ley estatal en un registro del Ministerio de Sanidad y Consumo, “la exigencia de la necesaria inscripción ... en un libro-registro ... no puede estimarse inconstitucional, dado que esa exigencia o carga se vincula directamente a la posibilidad de acceder a los beneficios que prevea la propia Ley y las disposiciones reglamentarias y concordantes. La inscripción en dicho libro registro no es sino un elemento que, junto al cumplimiento de otros requisitos que reglamentariamente se determinarán para cada tipo de beneficio que se instituya, opera como una condición previa para el otorgamiento por el Estado de cualesquiera ayudas o beneficios, no advirtiéndose en ello condicionamiento ilegítimo alguno para las asociaciones constituidas con arreglo a la normativa propia”. Y la misma doctrina podemos aplicar a este supuesto, pues la inscripción en el registro público de demandantes de vivienda protegida constituye una condición previa impuesta por el Estado para acceder a las correspondientes ayudas sin que suponga condicionamiento alguno en la política de vivienda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obligación de inscripción en un registro público no infringe las competencias autonómicas puesto que se trata de establecer un requisito que deben cumplir los solicitantes, y es doctrina reiterada por este Tribunal que los requisitos para acceder a las ayudas constituyen uno de los aspectos centrales de toda regulación subvencional que se orientan a garantizar igual trato a todos los interesados en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precepto impugnado es el apartado 1 del art. 6, sobre duración del régimen de protección de las viviendas y alojamientos protegidos y limitación del precio de las viviendas usadas. El tenor literal de este apartado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viviendas y alojamientos que se acojan a la financiación de este Plan, deberán estar sujetos a un régimen de protección pública, que excluya la descalificación voluntaria, incluso en el supuesto de subasta y adjudicación de las viviendas por ejecución judicial del préstamo, de la siguiente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carácter permanente mientras subsista el régimen del suelo, si las viviendas y alojamientos hubieran sido promovidos en suelo destinado por el planeamiento a vivienda protegida, o en suelo dotacional público, y, en todo caso, durante un plazo no inferior a 30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30 años, al menos, si las viviendas y alojamientos hubieran sido promovidos en otros suelos.”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del conflicto considera que vulnera las competencias de la Comunidad Autónoma en materia de urbanismo, ya que condiciona los usos que la Comunidad Autónoma, en su normativa urbanística, establece para los suelos, y afecta a su política urbanística, ya que, al establecer el art. 38 de la Ley 9/2001, de 17 de julio, del suelo de la Comunidad Autónoma de Madrid, una reserva del 50 por 100 para vivienda protegida, ello puede originar una trama urbana con una altísima proporción de vivienda protegida congelada, afectando así al modelo de ciudad que la Comunidad Autónoma, en el uso de su competencia en materia de urbanismo, puede querer configurar. Además, considera que se lesiona también su competencia en materia de vivienda, pues el hecho de que el Gobierno central establezca una calificación perpetua de las viviendas protegidas construidas en suelos destinados por el planeamiento a vivienda protegida supone congelar dichos suelos permanentemente, sin posibilidad de que esas viviendas se descalifiquen, con lo cual el precepto estatal desvirtúa los deseos del legislador madrileño al fijar una reserva de suelo del 50 por 100. Para la Comunidad Autónoma de Madrid, al establecerse una calificación perpetua de las viviendas se está procediendo a vaciar la competencia autonómica en materia de vivienda ya que la Comunidad Autónoma ha de establecer forzosamente la calificación permanente para estas viviendas cuando la normativa autonómica utiliza el plazo en el que las viviendas han de estar protegidas como un instrumento de política de vivienda. En conclusión, a juicio de la Comunidad Autónoma de Madrid, no se acierta a entender por qué la economía nacional precisa que estas viviendas no puedan desclasificarse jamás por lo que, más que ante una medida de política económica, nos encontramos ante una medida de política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para el Abogado del Estado la limitación temporal en la descalificación voluntaria de las viviendas protegidas que hayan gozado de ayudas públicas conforme al plan estatal no constituye una regla urbanística, sino una medida básica de política económica que se inserta en la política de vivienda y que encuentra cobertura competencial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viviendas y alojamientos que se acojan a la financiación del plan estatal de vivienda deberán estar sujetas a un régimen de protección pública. Es decir, las ayudas tienen por objeto viviendas protegidas. En el glosario de conceptos utilizados en el Real Decreto 2066/2008 que aparece recogido como anexo a esta norma, las viviendas protegidas se definen como “las calificadas como de protección oficial o, más en general, como viviendas protegidas, por el órgano competente de las Comunidades Autónomas y ciudades de Ceuta y Melilla, que cumplan los requisitos establecidos en este Real Decreto. Las viviendas protegidas podrán destinarse a la venta o al arrendamiento y han de constituir el domicilio o residencia habitual y permanente de sus ocupantes, salvo en aquellos supuestos que determine expresamente este Real Decreto”. Así, las viviendas protegidas que pueden acogerse a la financiación del plan estatal de vivienda deben cumplir los siguientes requisitos enumerados en el art. 5 del Real Decreto 2066/2008: destinarse a residencia habitual y permanente del propietario o del inquilino; necesaria autorización de las Comunidades Autónomas para que la vivienda pueda transmitirse inter vivos o se pueda ceder su uso por cualquier título antes del transcurso de diez años; su venta o adjudicación sólo podrá efectuarse a demandantes inscritos en los registros públicos previstos al efecto en las Comunidades Autónomas; y, por último, estarán sometidas a los derechos de adquisición preferente y demás limitaciones determinadas por las Comunidades Autónomas que puedan materializarse en derechos de tanteo y retracto. Asimismo, las viviendas también deberán tener una superficie útil mínima y máxima de conformidad con lo dispuesto en el art. 8 del Real Decreto 2066/2008.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viviendas protegidas se caracterizan, así, por tener una serie de limitaciones que configuran un régimen jurídico de la vivienda protegida distinto del de la vivienda libre. Como ha señalado el Tribunal Supremo —Sentencia de 15 de enero de 2003— el régimen jurídico de las viviendas de protección oficial se traduce en la concesión de una serie de beneficios tanto para los promotores como para los adquirentes que tiene como contrapartida la sujeción a determinadas obligaciones que exceden de las normales que son propias de cualquier propietario no sujeto a ese régimen.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las limitaciones que se imponen a las viviendas y alojamientos de protección pública que se acojan a la financiación del plan estatal de vivienda, el art. 6.1 del Real Decreto 2066/2008 introduce la prohibición de obtener la descalificación voluntaria de la vivienda de forma permanente mientras subsista el régimen del suelo, si las viviendas y alojamientos hubieran sido promovidos en suelo destinado por el planeamiento a vivienda protegida, y, en todo caso, durante un plazo no inferior a treinta años, o durante un plazo no inferior a treinta años, si las viviendas hubieran sido promovidas en otros suelos.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cuestión que debemos resolver es si puede el Estado imponer, como condición para acceder a las ayudas previstas en el plan estatal de vivienda, una duración al régimen de protección pública de las viviendas y alojamientos que se acojan a dichas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 estatal de vivienda sólo establece condiciones de financiación para las actuaciones previstas en el mismo. Es decir, como señala el Abogado del Estado, sus prescripciones limitan su eficacia a las viviendas que se acojan a la financiación del plan sin condicionar la política de vivienda que puedan desplegar las Comunidades Autónomas mediante sus propios programas.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pretende mantener un régimen jurídico de la protección pública de las viviendas y, por lo tanto, del control de precios y de las adjudicaciones, de larga duración. Si las ayudas que otorga el plan estatal de vivienda van destinadas a mejorar el acceso y uso de la vivienda a los ciudadanos con especiales dificultades económicas, la fijación de un mínimo temporal al régimen de protección pública no persigue sino garantizar la existencia de la vivienda en ese régimen y, por tanto, el cumplimiento de los fines para los cuales se ha llevado a cabo la inversión de dinero público. Como acertadamente vino a recordar, en relación con este precepto, la contestación del Gobierno de la Nación al previo requerimiento autonómico, “la duración del régimen de protección vinculado a la calificación de las viviendas protegidas, y que la Comunidad de Madrid califica de ‘perpetuo’, responde, precisamente, a la clara voluntad de asegurar tanto la honestidad como la eficacia en el uso del gasto público; siendo consustancial en toda la tradicional legislación, estatal o autonómica, sobre viviendas protegidas, cualquiera que sea su denominación a lo largo de la historia, el establecimiento de un período mínimo de vinculación a un determinado régimen jurídico tuitivo, de tal manera que el esfuerzo económico que hace la sociedad a través de los presupuestos públicos y de los recursos del conjunto del sistema financiero nacional, tenga un beneficioso efecto social y evite el enriquecimiento injustificado que podía suponer la transmisión especulativa de tales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Parece, por tanto lógico que el Estado o las Comunidades Autónomas establezcan un período mínimo de vinculación de las viviendas a un régimen jurídico de protección para compensar el esfuerzo económico realizado y que no se desvirtúe el sentido de la subvención otorgada. Nos encontramos así ante un criterio de ordenación de la vivienda con una clara finalidad económica. En efecto, la fijación de un período mínimo de vinculación de la vivienda a un régimen de protección pública constituye una auténtica contrapartida a los beneficios obtenidos con la adjudicación de dicha vivienda que garantiza el cumplimiento de los fines pretendidos con el establecimiento de estas ayudas públicas y que encuentra su fundamento en la demanda social de vivienda y en la necesidad de que exista un mercado de viviendas de protección oficial con un precio asequible. Por ello, podemos afirmar que la limitación temporal en la descalificación voluntaria de las viviendas protegidas que hayan recibido ayudas públicas conforme al plan estatal de vivienda tiene una incidencia directa y significativa en el sector económico, en la lucha contra la especulación y en la efectividad del derecho a la vivienda para los colectivos más desfavorecidos y encuentra cobertura competencial en el art. 149.1.13 CE. En este sentido, no podemos olvidar que la previsión de vivienda con un régimen de protección pública funciona como una técnica de intervención en el mercado inmobiliario con la finalidad de lograr en él los objetivos sociales y económicos señalados.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ninguna duda de que el Estado, en virtud del 149.1.13 CE, puede adoptar, en tanto que dirigido a facilitar el acceso a la vivienda, un plan consistente en la creación de ayudas dirigidas, entre otros, a los promotores de viviendas protegidas y a los demandantes de vivienda y, junto a ello, que pueda determinar los posibles beneficiarios, la cuantía que va a ser sufragada con cargo a los fondos estatales así como los requisitos para acceder a las ayudas. Todas ellas son cuestiones directamente ordenadas a la regulación del fin propuesto —facilitar el acceso a una vivienda—  formando parte de las condiciones esenciales de otorgamiento de las ayudas previstas las exigencias a cumplir para poder acceder a las mismas. En este sentido, la fijación de un plazo mínimo de duración del régimen de protección pública para aquellas viviendas que hayan accedido a las ayudas previstas en el plan constituye un elemento central de las condiciones de otorgamiento de las ayudas y resulta una exigencia de su percepción uniforme en todo el territorio nacional, garantizando así un trato igualitario a sus beneficiarios. Por ello, el art. 6.1 no vulnera las competencias de la Comunidad Autónoma de Madrid pues regula una de las condiciones que deben cumplir las viviendas de protección pública, que son precisamente el objeto de las ayudas, para poder acogerse a la financiación prevista en el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debemos tener en cuenta que, “el Estado puede regular las condiciones esenciales de otorgamiento de las ayudas hasta donde lo permita su competencia general básica o de coordinación, pero siempre que deje un margen a las Comunidades Autónomas, al menos para desarrollar y complementar la regulación de las condiciones de otorgamiento de las ayudas y su tramitación” (STC 59/1995, de 17 de marzo). En este caso, el art. 6.1 está fijando un plazo mínimo de duración del régimen de protección pública, con lo que se deja un margen a las Comunidades Autónomas para que establezcan un plazo diferente.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 promovido por la Comunidad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