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554-2013, promovida por el Juzgado de lo Social núm. 34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enero de 2013 tuvo entrada en el Registro General de este Tribunal un escrito del Juzgado de lo Social núm. 34 de Madrid al que se acompaña, junto con el testimonio del correspondiente procedimiento (procedimiento por despido núm. 708-2012), el Auto de 18 de enero de 2013, que acuerda plantear una cuestión de inconstitucionalidad en relación con el Real Decreto-ley 3/2012, de 10 de febrero. La cuestión afecta globalmente a esta disposición legal y a determinados aspectos particulares de su regulación: a su capítulo IV, a la disposición transitoria quinta, en relación con lo dispuesto en el art. 18.7 del propio texto legal cuestionado (por la que se modifica el artículo 56.1 de la Ley del estatuto de los trabajadores y preceptos concordantes de la Ley reguladora de la jurisdicción social) y al art. 18.8, que da nueva redacción al art. 56.2 del texto refundido del Estatuto de los trabajadores. Las normas cuestionadas vulneran, a juicio del órgano jurisdiccional promotor, los arts. 86.1 (en relación con el art. 1.3), 9.3,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registro de entrada en este Tribunal de fecha 14 de febrero de 2013, el órgano judicial proponente remite certificación de su Auto de 8 del mismo mes en cuya parte dispositiva se aprueba la conciliación en esa misma fecha, en los términos siguientes: “la empresa reconoce la improcedencia del despido con efectos del día 27-4-12 y ofrece en concepto de indemnización la cantidad de 5.500 euros netos que serán abonados el día el martes (sic) 12-2-13 en la cuenta donde venía percibiendo sus retribuciones. El actor manifiesta que con el percibo de esta cantidad queda liquidada y saldada la relación laboral que tenía con la empresa sin tener nada más que reclamar”.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8 de febrero de 2013 devino firme el día 15 del mismo mes al no haber sido recurrido por ninguna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este Tribunal, de 12 de marzo de 2013, se acordó oír al Fiscal General del Estado para que, al amparo de lo dispuesto en el artículo 37.1 CE, formulara alegaciones acerca de la admisibilidad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el escrito presentado el 26 de manifiesta que habiéndose aprobado por Auto de 8 febrero 2013 del Juzgado de lo Social proponente la conciliación llevar a cabo entre las partes, procede inadmitir a trámite la cuestión inicialmente propuesta, en tanto el fallo del pleito subyacente ya se ha consumado, y en consecuencia no han de aplicarse para su resolución los preceptos que el juzgador estimaba contrarios a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señalado reiteradamente que puede darse la desaparición sobrevenida de objeto del proceso constitucional aunque ese motivo no esté expresamente contemplado en el artículo 86.1 de la Ley Orgánica del Tribunal Constitucional (LOTC) como una de las causas determinación extraordinaria, de manera que su concurrencia provocará la conclusión del proceso sin que sea necesario un pronunciamiento sobre reproche de inconstitucionalidad planteado (por todas, STC 6/2010, de 14 abril, FJ 2; recientemente, ATC 23/2013, de 29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es verdad que el llamado “juicio de relevancia” —o relación entre la norma cuya constitucionalidad se cuestiona por el órgano judicial y el fallo dictan el proceso— ha de establecerse en el momento en que la cuestión se formula, no ofrece duda que la concurrencia de circunstancias sobrevenidas puede afectar a este requisito e influir necesariamente en la suerte del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aunque en el juicio sobre la legitimidad constitucional de las normas, a que el art. 163 CE da lugar, existe un notorio interés público general —como es el interés de la depuración del ordenamiento jurídico y la conformidad con la Constitución de las normas que lo integran—, el constituyente ha condicionado la procedencia de este procedimiento al hecho de que la aplicación de la norma cuestionada sea necesaria en un proceso jurisdiccional concreto. Por ello, la terminación del proceso como consecuencia de un acuerdo de conciliación alcanzado por las partes en litigio —que es lo que ocurre en el caso presente, en el que el Juzgado de lo Social núm. 34 de Madrid ha aprobado el acuerdo alcanzado en los términos reproducidos— tiene como consecuencia la desaparición sobrevenida de uno de los presupuestos de apertura del proceso constitucional, y ello debe determinar su extinción por falta de objeto. Y es que, aun cuando el examen de la constitucionalidad de la norma continuaría siendo posible, se trataría del enjuiciamiento en abstracto, desligado del caso de aplicación al que se refiere el art. 163 CE, lo que es improcedente en una cuestión de inconstitucionalidad (por todos, ATC 41/1998, de 18 febrero,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554-2013, promovida por el Juzgado de lo Social núm. 34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