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253</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noviembre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2080-2013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2080-2013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las medidas cautelares solicitadas.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8 de abril de 2013, el Procurador de los Tribunales don Evencio Conde de Gregorio, en nombre y representación del Ayuntamiento de Cambrils, y bajo la dirección del Letrado don Vicente Martí Aromir, interpuso recurso de amparo contra el Auto de la Sección Tercera de la Sala de lo Contencioso-Administrativo del Tribunal Superior de Justicia de Cataluña de 13 de febrero de 2013, que desestima el incidente de nulidad de actuaciones interpuesto contra la Sentencia de 4 de diciembre de 2012, que estima parcialmente el recurso de apelación núm. 67-2011 interpuesto contra la Sentencia del Juzgado de lo Contencioso-Administrativo núm. 2 de Tarragona de 5 de noviembre de 2010, dictada en el recurso ordinario núm. 300-2009, condenando al recurrente a abonar a la parte actora la suma de 400.000 €, en concepto de responsabilidad patrimonial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resolución judicial impugnada en lo relativo al pago de las 400.000 € de responsabilidad patrimonial, argumentando que por la cuantía y circunstancias del Ayuntamiento recurrente los perjuicios serían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registrado el 3 de septiembre de 2013, el recurrente comunicó que por Auto del Juzgado de lo Contencioso-Administrativo núm. 2 de Tarragona de 12 de junio de 2013 se denegó la solicitud de suspensión de la ejecución y se despachó la ejecución, procediéndose al ingreso de la cantidad acordada en Sentencia el 12 de julio de 2013 y a su entrega a la parte actora por diligencia de ordenación de 19 de julio de 2013. Igualmente, afirma que la actora ha procedido al cambio de forma societaria unipersonal en diciembre de 2012 y no ha presentado las cuentas anuales en el plazo establecido, lo que, unido al estudio de las cuentas depositadas en el Registro Mercantil, pone de manifiesto que su situación podría hacer temer la imposibilidad de recuperar el importe de la indemnización en caso de ser otorgado el amparo. Por tanto, una vez que ya se ha hecho entrega del dinero, el recurrente solicita que se requiera a la parte actora para que proceda a afianzar la cantidad percibida por alguno de los medios válidos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Primera de este Tribunal, por sendas providencias de 7 de octubre de 2013,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18 de octubre de 2013, presentó alegaciones en las que, enunciando la jurisprudencia de este Tribunal sobre el particular, interesó que, una vez que ya estaba ejecutada la Sentencia, se acordara la medida cautelar de afianzamiento de la cantidad entregada, habida cuenta de que la parte actora está en situación especial sobrevenida por no tener depositadas sus cuentas anuales en el Registro Mercantil.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por escrito registrado el 16 de octubre de 2013, presentó alegaciones solicitando que se acuerde la devolución del dinero entregado y, subsidiariamente, afianzar dicha cantidad, tal como ya se acordó por el Tribunal Constitucional en situaciones precedentes (AATC 294/1989, de 5 de junio, 170/1995, de 6 de junio o 61/2000, de 28 de febrero). El recurrente insiste en que tal como se describe en el informe del Interventor municipal que se adjunta del estudio de las cuentas depositadas se desprende que la situación de la parte actora hace temer la imposibilidad de recuperar el importe abonado si se estimara el recurso de amparo, además de haber cambiado de forma societaria y no haber presentado cuentas anuales en el plazo establecido.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una vez que se ha producido la ejecución de la resolución impugnada, solicita, al amparo del art. 56.3 de la Ley Orgánica del Tribunal Constitucional (LOTC), que se adopte como medida cautelar la devolución de la cantidad abonada en ejecución de la Sentencia impugnada (400.000 €, más los intereses devengados) y, subsidiariamente, su afianzamiento por cualquier medio admitido en derecho. Estas solicitudes las fundamenta en que del estudio de las cuentas depositadas en el Registro Mercantil de la parte actora, a cuyos efectos se adjunta un informe del Interventor municipal, se desprende que su situación hace temer la imposibilidad de recuperar el importe abonado si se estimara el recurso de amparo. También pone de manifiesto que la parte actora ha cambiado de forma societaria y no ha presentado cuentas anuales de 2012 en el plazo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de la Ley Orgánica del Tribunal Constitucional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 Por su parte, el art. 56.3 LOTC establece que se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adopción de medidas cautelares en el procedimiento de amparo, este Tribunal ha declarado que la no ejecución de resoluciones judiciales firmes entraña siempre en sí misma una perturbación de la función jurisdiccional que comprende la potestad de hacer ejecutar lo juzgado (art. 117.3 CE), por lo que las medidas cautelares resultan pertinentes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(ATC 124/2012, de 18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este Tribunal también ha dicho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(ATC 81/2012, de 7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la ejecución de los pronunciamientos con efectos fundamentalmente patrimoniales o de contenido económico, este Tribunal ha consagrado que, con carácter general, ni causa un perjuicio irreparable al obligado al pago, ni puede hacer perder al amparo su finalidad, al ser posible la restitución íntegra de lo ejecutado. De ese modo, solo se ha accedido a la suspensión en supuestos excepcionales en que la ejecución de las resoluciones recurridas en amparo acarrearía perjuicios económicos muy difícilmente reparables por su entidad o por la irreversibilidad de las situaciones jurídicas que puedan producirse (ATC 81/2012, de 7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contenido del fallo de la resolución impugnada es exclusivamente de carácter económico. Su ejecución, teniendo en cuenta la cuantía (400.000 €, más los intereses), no puede considerarse que ocasione un perjuicio irreparable al ayuntamiento recurrente si se compara con su presupuesto para el año 2013, que es superior a los 47 millones de euros. Del mismo modo, utilizando como referencia el capital suscrito por la parte actora, que es superior a los 25 millones de euros, tampoco cabe apreciar la existencia de los riesgos para una eventual devolución en caso de otorgamiento del amparo alegados por el recurrente. El breve informe realizado por los servicios municipales sobre la capacidad de la parte actora para generar fondos suficientes para el pago de sus obligaciones no solo resulta limitado por la información utilizada, como dicho informe reconoce, sino que, además, tampoco parece concluyente atendiendo a su afirmación sobre la equilibrada estructura del pasivo de la empresa actora y el mantenimiento en positivo desde 2007 de los test de solvencia. Del mismo modo, tampoco se acredita la relevancia que puede tener sobre la existencia del riesgo de no devolución el cambio de la naturaleza societaria de la parte actora ni el que se haya producido el incumplimiento de la obligación de depósito dentro del plazo establecido de las cuentas anuales correspondientes a 2012.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las medidas cautelares solicitadas.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noviembre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