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30 de enero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10616-2006, avocado al Pleno, promovido por don Zigor Blanco Santiesteban, representado por el Procurador de los Tribunales don Javier Cuevas Rivas y asistido por el Letrado don Alfonso Zenón Castro, contra la Sentencia de la Sala de lo Penal del Tribunal Supremo de 4 de octubre de 2006 que desestimó el recurso de casación núm. 10203-2006 interpuesto contra la Sentencia de la Sección Segunda de la Sala de lo Penal de la Audiencia Nacional de 30 de noviembre de 2005, dictada en el rollo núm. 30-2003. Ha intervenido el Ministerio Fiscal.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noviembre de 2006, el Procurador de los Tribunales don Javier Cuevas Rivas, en nombre y representación de don Zigor Blanco Santiesteban,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en los que tiene su origen el presente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Segunda de la Sala de lo Penal de la Audiencia Nacional dictó Sentencia el 30 de noviembre de 2005 por la que condenó al recurrente, junto a otras cuatro personas, como autor de dos delitos de asesinato terrorista en grado de tentativa, a la pena de diez años de prisión por cada uno, con la accesoria de dieciséis años de inhabilitación absoluta; y, como autor de un delito de daños, a la pena de dos años de prisión con la accesoria de nueve años de inhabilitación absoluta; así como a la responsabilidad civil consiguiente, en favor de las víctimas y entidades perjudicadas por los daños y perjuicios causados; y al abono de las costas procesales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relato de los hechos declarados probados, el recurrente, junto a otros integrantes de un grupo organizado y siguiendo un plan preestablecido en el marco de las acciones de la llamada lucha callejera o “kale borroka”, el día 5 de agosto de 2001, tras inutilizar previamente el alumbrado público, procedieron a lanzar artificios incendiarios contra la sucursal núm. 5 de la entidad bancaria BBK en Portugalete, al objeto de que acudieran funcionarios de la Ertzaintza. Personados dos agentes en un vehículo camuflado, fueron reconocidos por los asaltantes, quienes procedieron a romper los cristales del vehículo policial con numerosos objetos contundentes y lanzaron a su interior “cócteles molotov”, incendiando el vehículo y causando graves quemaduras a los dos agentes que se encontraban en su interior, quienes tuvieron que ser rescatados por otros compañeros que acudieron en su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resultas de dicha acción, uno de los agentes sufrió quemaduras en el 10 por 100 de su cuerpo, que le afectaron a la cara, espalda y brazo izquierdo, quedándole secuelas diversas; el segundo agente sufrió quemaduras en el 30 por 100 de su cuerpo, que le afectaron a la cara, cuello, ambas manos, antebrazos, brazos y espalda, quedándole también importantes secuelas. Se causaron daños en la oficina bancaria y en diversos vehículos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de amparo interpuso recurso de casación contra la Sentencia, por infracción de precepto constitucional, invocando la lesión de sus derechos a la intimidad (art. 18.1 CE) y a la autodeterminación informativa (art. 18.4 CE), así como a un proceso con todas las garantías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Sala de lo Penal del Tribunal Supremo dictó la Sentencia núm. 949/2006, de 4 de octubre, mediante la que desestimó el recurso de casación presentado por el recurrente, confirmándose así el pronunciamiento condenatorio de instancia respecto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vulneración del derecho a la intimidad personal (art. 18.1 CE) a causa de que el análisis del perfil genético del recurrente fue realizado por la policía autonómica sin ningún tipo de control. Se afirma que esta prueba se realizó tras haber recogido un agente una colilla de cigarrillo arrojada por el recurrente cuando se encontraba detenido por otra causa, confrontándose con los restos genéticos hallados en una prenda utilizada durante la actuación delictiva. Considera que tal análisis, pese a no suponer una intervención corporal, habría precisado de autorización judicial, pues afecta al derecho a la intimidad, al poder revelar datos sensibles e íntimos de la persona, por lo que su práctica debió estar rodeada de esta garantía, para tener así seguridad de que las personas que lo realizan no se exceden en su cometido y evitar abusos o cesión de datos a terceros no autorizados.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alega el demandante la infracción de la garantía de “autodeterminación informativa” prevista en el art. 18.4 CE, a causa de que la Ertzaintza habría procedido a incluir en una base de datos informatizada el resultado del análisis de las muestras genéticas del recurrente, sin ningún tipo de control administrativo ni de otro orden, sin que se sepa quién o quiénes tienen acceso a tales datos ni quiénes son sus responsables, ni si esos datos personales van a ser utilizados para otros fines o durante cuánto tiempo se conservarán y si podrán ser utilizados en futuros procedimientos penales. Se habría actuado por dicha policía autonómica al margen de la normativa vigente, por lo que estaríamos ante un ataque a la intimidad, por no darse las garantías suficientes y adecuadas en el tratamiento de estos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se aduce la infracción del derecho a la presunción de inocencia (art. 24.2 CE) porque los órganos judiciales habrían apreciado como prueba de cargo el análisis de ADN, que no puede considerarse válida por haberse realizado sin autorización judicial, resultando que todas las demás derivadas de esta prueba también han de reputarse ilícitas por aplicación de lo dispuesto en el art. 11.1 de la Ley Orgánica del Poder Judicial (LOPJ). Además, se da una falta absoluta de intervención judicial en “la toma de muestra indubitada” (colilla arrojada en la celda), siendo así que cuando se quiere que esta diligencia tenga carácter probatorio ha de intervenir un Juez, de forma que con su participación queden precisados el objeto recogido, el lugar donde éste se encontraba y las demás circunstancias necesarias para dejar acreditada la pertenencia a la persona a la que se atribuye. En este caso el análisis se ha practicado sobre muestras biológicas del recurrente obtenidas y conservadas subrepticiamente, no siendo recogidas por un médico forense sino por un policía sin ninguna preparación al respecto. Por otra parte, no se documentó convenientemente la recogida de las muestras, no existiendo la más mínima “cadena de custodia” que demuestre que la evidencia recogida contenga la saliva del recurrente, dándose cuenta al Juez de estas diligencias muy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dice también lesionado el derecho a la presunción de inocencia (art. 24.2 CE) porque, con independencia de la licitud o no de la prueba de ADN, no concurre prueba de cargo suficiente para la condena. Así, este análisis no pasa de ser sino una mera prueba indiciaria, limitándose el órgano judicial en este caso a recoger la coincidencia del perfil genético del imputado con el encontrado en la prenda intervenida, sin darse explicación alguna sobre cómo tal circunstancia avalaría su participación en los hechos probados. Por el contrario, concurren otros elementos probatorios, como las declaraciones prestadas en el juicio oral por algunos testigos, que conducirían a una conclusión contraria, al desprenderse de éstas que la prenda encontrada podría haber estado en el lugar de los hechos con anterioridad o bien podría haber sido utilizada por otra persona posteriormente. En este sentido, cabe significar que los restos de ADN corresponden al pelo recogido en un jersey, siendo ésta una prenda que no se usa específicamente para este tipo de acciones delictivas.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entiende el demandante que se ha producido una violación de su derecho a un proceso con todas las garantías (art. 24.2 CE), por cuanto el recurso de casación interpuesto no ha satisfecho el derecho a la doble instancia en materia penal establecido en el art. 14.5 del Pacto internacional de los derechos civiles y políticos (PIDCP). Dicho recurso no habría supuesto un mecanismo efectivo de control del fallo condenatorio y de la pena impuesta, al no permitir al Tribunal Supremo proceder a una nueva valoración de la prueba y de los hechos declarados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octubre de 2008 la Sección Cuarta de este Tribunal, de conformidad con lo dispuesto en el art. 50.3 de la Ley Orgánica del Tribunal Constitucional (LOTC) en su redacción anterior a la aprobada por la Ley Orgánica 6/2007, de 24 de mayo, acordó conceder un plazo común de diez días a la parte demandante de amparo y al Ministerio Fiscal para que formularan las alegaciones que estimasen pertinentes acerca de la conveniencia de apreciar la causa de inadmisión prevista en el art. 50.1 c) LOTC, consistente en la carencia manifiesta de contenido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recurrente cumplimentó el trámite de alegaciones mediante escrito registrado el 21 de noviembre de 2008, en el que sostuvo que el recurso no carecía de contenido constitucional, reiterando en lo sustancial los razonamientos jurídicos ya expresados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del Tribunal el día 2 de diciembre de 2008, el Ministerio Fiscal formuló sus alegaciones, solicitando la inadmisión de la demanda por falta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análisis genético practicado por la policía autonómica sin contar con autorización judicial ni consentimiento del afectado, comienza el Fiscal señalando que desvelar el ADN no codificante a los meros efectos identificativos de una persona para su imputación criminal comporta una injerencia mínima en su derecho a la intimidad, pues todas las personas poseen datos identificativos de público conocimiento y de obligada constatación desde el momento mismo de su nacimiento. No obstante, la ley puede autorizar a la policía judicial la práctica de determinadas inspecciones, reconocimientos e incluso intervenciones corporales leves, señalando el art. 11.1 g) de la Ley Orgánica 2/1986, de 13 de marzo, de fuerzas y cuerpos de seguridad, que éstas, entre otras funciones, tienen la de “investigar los delitos para descubrir y detener a los presuntos culpables, asegurar los instrumentos, efectos y pruebas del delito, poniéndoles a disposición del Juez o Tribunal competente y elaborar los informes técnicos y periciales procedentes”, por lo que, en este caso, el análisis de las muestras biológicas recogidas tiene cobertura legal. Por lo demás, el analizar los restos de un cigarrillo para poder determinar el perfil genético de una persona a los meros efectos identificativos, a fin de compararlo con el perfil genético de personas implicadas en graves hechos delictivos cuya identidad era desconocida, respeta los principios de proporcionalidad y razonabilidad, al no existir otro modo de posible actuación investigadora.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supuesta lesión de la libertad informativa del art. 18.4 CE, rechaza el Fiscal que se haya producido, pues el análisis se ha realizado por un organismo público sujeto a una rígida normativa en su funcionamiento y a los mecanismos de control y seguridad normativamente previstos. De otra parte, el fichero en el que se recogen los datos investigados está excluido del régimen de la Ley Orgánica 15/1999, de 13 de diciembre, de protección de datos de carácter personal, a la vista de su art. 2.2 c), al tratarse de la investigación del “terrorismo y otras formas graves de delincuencia organizada”. Así las cosas, los datos archivados se limitan a desvelar los perfiles genéticos pertenecientes a autores de delitos de estas características para proceder a su identificación, concurriendo las notas tanto de necesidad como de adecuación y proporción, pues, dada la forma de actuación delictiva, la identidad de los partícipes en la misma no es susceptible de ser conocida por otros métodos.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toma de las muestras, razona el Ministerio público que parece claro que las colillas arrojadas al suelo por el demandante podían ser recogidas por los funcionarios policiales; es más, dicha recogida, si hubiera sido seguida de su ulterior tratamiento como basura, no sería objetable por el demandante. No sólo esta actuación estaría amparada por el art. 11.1 g) de la Ley Orgánica 2/1986 y el art. 282.1 de la Ley de enjuiciamiento criminal, que autorizan a la policía judicial a recoger las pruebas de los delitos, sino que también parece razonable que una pronta y cuidadosa recogida de estos restos biológicos, para evitar así riesgos de manipulación y contagio, presenta menos riesgos que una actuación más alejada en el tiempo. Por otra parte, la concurrencia en este caso de la denominada “cadena de custodia” de dichas muestras ha podido ser valorada por los órganos judiciales a través de los testimonios en el juicio oral de los policías intervinientes, tanto de los que recogieron las colillas, como de los que las enviaron al laboratorio y de los peritos que realizaron los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al cuarto motivo, entiende el Fiscal que no se ha producido lesión alguna de la presunción de inocencia, pues la Sentencia condenatoria tuvo por acreditados los hechos en virtud de una pluralidad de pruebas testificales y periciales, extendiéndose en sus razonamientos sobre la coincidencia del perfil genético del recurrente con el hallado en la prenda intervenida. Además, el órgano judicial examinó la prueba de descargo presentada por su defensa, considerándola irrelevante, apareciendo huérfana de todo sustento la afirmación que se hace en la demanda de que otros indicios avalarían una conclusión contraria respecto a la autoría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no aprecia el Fiscal una vulneración del derecho a la segunda instancia penal, porque las cuestiones planteadas por el condenado en su recurso de casación (sobre la validez del análisis de ADN, ausencia de prueba de cargo para su condena y otras) han sido examinadas por el Tribunal Supremo, satisfaciéndose así las exigencias del art. 14.5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17 de marzo de 2009 la Sala Segunda de este Tribunal acordó admitir a trámite la demanda y, a tenor de lo dispuesto en el art. 51 LOTC, solicitar a la Sala de lo Penal del Tribunal Supremo y a la Sección Segunda de la Sala de lo Penal de la Audiencia Nacional la remisión de certificación o fotocopia adverada de las actuaciones correspondientes al recurso de casación núm. 10203-2006 y al rollo núm. 30-2003, respectivamente. También se acordó que se procediera al emplazamiento de quienes hubiesen sido parte en el procedimiento, excepto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Habiéndose solicitado, por otrosí en la demanda, la suspensión de la ejecución de la Sentencia condenatoria impugnada, por providencia de 17 de marzo de 2009 la Sala Segunda acordó formar la correspondiente pieza separada de medidas cautelares y, de conformidad con lo previsto en el art. 56.4 LOTC, conceder un plazo común de tres días al Ministerio Fiscal y a la parte recurrente para que alegasen lo que estimaran pertinente en relación con dicha pretensión. El Fiscal presentó sus alegaciones mediante escrito registrado el 1 de abril de 2009, solicitando la denegación de la petición suspensiva. El demandante reiteró su solicitud por escrito de 8 de abril de 2009. Finalmente, la Sala dictó el ATC 138/2009, de 11 de mayo, mediante el que se denegó la suspensión solicitada, tanto en relación a las penas privativas de libertad y sus accesorias, como en orden a los pronunciamientos de contenido patrimonial 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diligencia de ordenación de 1 de octubre de 2009 se tuvieron por recibidos los testimonios remitidos por los órganos judiciales. En la misma diligencia se acordó, a tenor de lo dispuesto en el art. 52.1 LOTC, dar vista de las actuaciones por un plazo común de veinte días al Ministerio Fiscal y al recurrente en amparo, para que presentaran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cumplimentó este trámite de alegaciones el 26 de octubre de 2009, solicitando la denegación del amparo, con base en los razonamientos ya expuestos en su anterior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 propuesta de la Sala Segunda y de conformidad con lo establecido el art. 10.1 n) LOTC, el Pleno del Tribunal, por providencia de 21 de octubre de 2010,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acuerdo del Presidente del Tribunal de 14 de enero de 2014, de conformidad con el art. 15 LOTC y el Acuerdo de 20 de enero de 2005 del Pleno del Tribunal (“Boletín Oficial del Estado” de 25 de enero de 2005) el Excmo. Sr. Presidente asumió la ponencia del presente recurso de amparo, en sustitución del Magistrado don Francisco José Hernando Santiago, por fallecimiento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28 enero de 2014, se acordó señalar para deliberación y votación de la presente Sentencia el día 30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objeto de impugnación en el presente proceso de amparo la Sentencia de la Sección Segunda de la Sala de lo Penal de la Audiencia Nacional de 30 de noviembre de 2005 que condenó al recurrente como autor de dos delitos de asesinato terrorista en grado de tentativa y un delito de daños, así como la Sentencia de la Sala de lo Penal del Tribunal Supremo de 4 de octubre de 2006 que desestimó el recurso de casación formulado contra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atribuye a estas resoluciones la vulneración de su derecho a la intimidad personal (art. 18.1 CE), al haberse realizado por la policía autonómica vasca sin autorización judicial un análisis de muestras biológicas suyas que fue confrontado con el de otras halladas en el lugar de los hechos; al tiempo, se habría infringido el derecho a la “autodeterminación informativa” reconocido en el art. 18.4 CE, por haberse incluido su perfil de ADN en un fichero policial sin respetarse las garantías previstas en el ordenamiento para el tratamiento de este tipo de datos de naturaleza personal. Además, dice haberse infringido el derecho a la presunción de inocencia (art. 24.2 CE) al haberse sustentado su condena en la prueba antes indicada, cuya ilicitud debió privarla de todo valor, dada la ausencia de control judicial y no haberse respetado por la policía la necesaria “cadena de custodia” sobre las muestras biológicas. Se añade que, con independencia de lo dicho, la coincidencia de su perfil genético con el encontrado en la prenda intervenida en el lugar de los hechos no es concluyente de su participación en los mismos, existiendo en las actuaciones otros elementos probatorios que avalan una conclusión contraria. Finalmente, aduce la lesión del derecho a un proceso con todas las garantías (art. 24.2 CE) ya que, a su juicio, el recurso de casación formulado no ha servido como un mecanismo efectivo de revisión de la condena impuesta, en los términos exigidos por el art. 14.5 del Pacto internacional de los derechos civiles y políticos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del recurso de amparo, pues la injerencia mínima que pueda suponer la realización del análisis genético del recurrente, con finalidad meramente identificativa, estaba permitida legalmente a la policía judicial en el marco de sus obligaciones de investigación del delito, concurriendo en este caso las notas de proporcionalidad y razonabilidad. La libertad informativa tampoco ha sido vulnerada pues el procesamiento de datos fue efectuado por un organismo público con la única finalidad de desvelar los perfiles genéticos de autores de delitos de graves características, estando excluido este fichero del régimen de la Ley Orgánica 15/1999, de 13 de diciembre, de protección de datos de carácter personal. De otro lado, añade que entre las funciones de la policía también está la de recoger las pruebas del delito, en este caso los restos biológicos, pudiendo haber sido comprobada por el Tribunal sentenciador la regularidad de la “cadena de custodia” de las muestras a través de los interrogatorios en el juicio de los funcionarios policiales, concurriendo prueba válida en la que basar la condena del recurrente. Por último, estima que el recurso de casación resuelto por el Tribunal Supremo ha cumplido adecuadamente su función en orden a la revisión de la condena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nuestro habitual criterio de otorgar prioridad al enjuiciamiento de aquellas quejas cuya estimación pudiera conllevar la retroacción de actuaciones (por todas, STC 182/2009, de 7 de septiembre, FJ 3), comenzaremos por la referida a la lesión del derecho a un proceso con todas las garantías (art. 24.2 CE), que, a juicio del demandante, se habría producido como consecuencia de que el recurso de casación formulado no ha supuesto un mecanismo efectivo de revisión de la condena impuesta en los términos exigidos por el art. 14.5 PIDCP, al no haberse realizado por el Tribunal Supremo un nuevo examen crítico del material probatorio aportado.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conviene recordar que este Tribunal Constitucional ha ido conformando un cuerpo de doctrina, fundamentalmente a partir de la STC 70/2002, de 3 de abril, FJ 7, con arreglo a la cual “existe una asimilación funcional entre el recurso de casación y el derecho a la revisión de la declaración de culpabilidad y la pena, declarado en el art. 14.5 PIDCP, siempre que se realice una interpretación amplia de las posibilidades de revisión en sede casacional y que el derecho reconocido en el Pacto se interprete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Reglas entre las que se encuentran, desde luego, todas las que rigen el proceso penal y lo configuran como un proceso justo, con todas las garantías; las que inspiran el principio de presunción de inocencia, y las reglas de la lógica y la experiencia conforme a las cuales han de realizarse las inferencias que permiten considerar un hecho como probado” (en el mismo sentido, SSTC 105/2003, de 2 de junio, FJ 2; 116/2006, de 24 de abril, FJ 5; y 60/2008, de 26 de mayo, FJ 4). Precisando las posibilidades de revisión en sede casacional y, en concreto, la posibilidad de examinar los hechos probados, hemos resaltado que nuestro sistema casacional no se limita al análisis de cuestiones jurídicas y formales, sino que actualmente, a través de la invocación del 24.2 CE (tanto del derecho a un proceso con todas las garantías como, fundamentalmente, del derecho a la presunción de inocencia), es posible que el Tribunal Supremo controle tanto la licitud de la prueba practicada en la que se fundamenta el fallo, como su suficiencia para desvirtuar la presunción de inocencia y la razonabilidad de las inferencias realizadas (STC 116/2006, de 24 de abril, FJ 5). Por tanto, el recurrente “tiene abierta una vía que permite al Tribunal Supremo la ‘revisión íntegra’, entendida en el sentido de posibilidad de acceder no sólo a las cuestiones jurídicas, sino también a las fácticas en que se fundamenta la declaración de culpabilidad, a través del control de la aplicación de las reglas procesales y de la valoración de la prueba” (STC 136/2006,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Sala de lo Penal del Tribunal Supremo, luego de justificar ampliamente en su Sentencia la validez y eficacia de la prueba de ADN practicada (fundamentos jurídicos 2 a 4), pone de relieve que la inferencia realizada por la Audiencia Nacional sobre la participación del acusado no es irrazonable y responde a las reglas de la experiencia, “contrastando el valor incriminatorio de los análisis de ADN con las pruebas testificales de descargo presentadas por las defensas, explicitando de forma racional y lógica por qué no les concede suficiente credibilidad, a la vez que refiere el resto de las pruebas que confirman su convicción” (fundamento jurídico 7), añadiendo que la falta de explicación alternativa de cómo pudieron aparecer aquellas huellas genéticas puede ser valorada por la Sala para reforzar su convicción (mismo fundamento jurídico 7). Posteriormente, el Tribunal de casación, con ocasión de perfilar el carácter de la acción perpetrada, procede a una ponderación de las declaraciones de los funcionarios policiales que sufrieron el atentado y de los testigos que lo presenciaron, concluyendo que la conducta del recurrente se enmarcó en un ataque colectivo dentro de las acciones denominadas “kale borroka”, en el que todos los condenados intervinieron en el acuerdo previo y ostentaron dominio funcional del hecho (fundamento jurídico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Tribunal Supremo ha procedido a una revisión de la sentencia condenatoria en términos constitucionalmente adecuados a las exigencias del art. 24.2 CE, interpretado a la luz del art. 14.5 PIDCP, realizando un análisis detallado de la prueba practicada, para concluir que no se había producido ningún error de valoración y que las inferencias realizadas en la instancia eran conformes a las reglas de la lógica y de la experiencia, no incurriendo en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segunda queja formulada por el recurrente es la referida a la vulneración de su derecho a la intimidad (art. 18.1 CE) como consecuencia de haber procedido la policía autonómica vasca, sin su consentimiento ni autorización judicial, a extraer el ADN de una muestra biológica obtenida de un cigarrillo arrojado por él en el calabozo donde se hallaba detenido por otros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reciente STC 199/2013, de 5 de diciembre, tras recordar la doctrina de este Tribunal en relación con el derecho a la intimidad, con particular atención a las resoluciones dictadas en materia de intervenciones o reconocimientos corporales (SSTC 207/1996, de 16 de diciembre; 196/2004, de 15 de noviembre; 25/2005, de 14 de febrero; y 206/2007, de 24 de septiembre), así como a determinados pronunciamientos del Tribunal Europeo de Derechos Humanos que ponen de manifiesto que el derecho a la vida privada resulta ya comprometido por la mera conservación y almacenamiento de muestras biológicas y perfiles de ADN (STEDH de 4 de diciembre de 2008, caso S. y Marper c. Reino Unido; y decisión de inadmisión de 7 de diciembre de 2006, caso Van der Velden c. Países Bajos), concluimos que el análisis de la muestra biológica del demandante de amparo supone una injerencia en el derecho a la privacidad por los riesgos potenciales que de tal análisis pudieran derivarse (FJ 6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afirmada la existencia de injerencia en la vida privada, el Tribunal Europeo de Derechos Humanos sitúa la cuestión en la justificación de la medida en términos compatibles con el Convenio europeo para la protección de los derechos humanos y de las libertades fundamentales (CEDH). Y así, en la primera de las resoluciones citadas, al abordar el estudio de la existencia de un fin legítimo que justificase la injerencia apreciada, el Tribunal Europeo se ocupa de remarcar oportunamente la diferencia existente entre el supuesto abordado —conservación de muestras biológicas y perfiles de ADN para la identificación de los autores de futuros hechos delictivos— de aquellos otros casos en los cuales “la extracción inicial está destinada a vincular a una persona determinada con un delito concreto que se sospecha que ha cometido” (§ 100). El reproche del Tribunal Europeo de Derechos Humanos se dirige a la conservación indefinida por las autoridades policiales de muestras biológicas y perfiles de ADN de personas no condenadas con la finalidad de identificar a los autores de futuros hechos delictivos, pero no a la identificación de los autores de hechos delictivos a través del contraste del ADN obtenido a partir de muestras biológicas del sospechoso “con vestigios anteriores conservados en la base de datos” (§ 116). La censura se realiza, por tanto, a la conservación de los datos personales, pues el Tribunal Europeo de Derechos Humanos afirma que “se ha de considerar que el mero hecho de que las autoridades públicas conserven o memoricen datos de carácter personal, cualquiera que sea la manera en la que hayan sido obtenidos, tiene unas consecuencias directas en la vida privada de la persona afectada, tanto si se utilizan o no estos datos posteriormente” (§ 119). A su vez, en la decisión de inadmisión anteriormente citada el Tribunal Europeo de Derechos Humanos consideró que la injerencia en el derecho a la vida privada, prevista legalmente, resulta razonable en atención a que se impone a los condenados por delitos de cierta gravedad y que, a la postre, podría incluso beneficiarles al favorecer su exclusión de una eventual lista de sospechosos.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nuestra parte, en las SSTC 70/2002, de 3 de abril (FJ 10); 89/2006, de 27 de marzo (FJ 3); y 207/1996, de 16 de diciembre (FJ 4), señalamos que los requisitos que proporcionan una justificación constitucional objetiva y razonable a la injerencia en el derecho a la intimidad son los siguientes: la existencia de un fin constitucionalmente legítimo; que la medida limitativa del derecho esté prevista en la ley (principio de legalidad); que como regla general se acuerde mediante una resolución judicial motivada (si bien reconociendo que debido a la falta de reserva constitucional a favor del Juez, la ley puede autorizar a la policía judicial la práctica de inspecciones, reconocimientos e incluso de intervenciones corporales leves, siempre y cuando se respeten los principios de proporcionalidad y razonabilidad) y, finalmente, la estricta observancia del principio de proporcionalidad, concretado, a su vez, en las tres siguientes condiciones: “si tal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 (STC 199/2013, de 5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la exigencia de que la medida que supone una injerencia en el derecho a la intimidad esté orientada a la consecución de un fin constitucionalmente legítimo, “ya hemos dejado constancia de que el Tribunal Europeo de Derechos Humanos ha considerado legítima la práctica de estos análisis cuando está destinada a vincular a una persona determinada con un delito concreto que se sospecha que ha cometido (STEDH de 4 de diciembre de 2008, caso S. y Marper c. el Reino Unido, § 100)” (STC 199/2013, de 5 de diciembre, FJ 8). En el caso analizado la prueba pericial de obtención del ADN no codificante, que no permite la obtención de otros datos que los meramente identificativos, se produjo con la finalidad de ser comparado con los restos hallados en una prenda utilizada en la realización del hecho delictivo, teniendo como único objeto la averiguación de la persona que había utilizado la mencionada prenda en la perpetración de aquél, de muy intensa gravedad, como son los dos delitos de asesinato terrorista en grado de tentativa y otro de daños, por lo que no cabe duda alguna de la concurrencia de un fin legítimo en la medida adoptada por la policía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cobertura legal de las diligencias periciales practicadas por la policía judicial, hemos de partir, como hace la STC 199/2013, de 5 de diciembre (FJ 9), de que habiendo ocurrido los hechos antes de la reforma llevada a cabo por la Ley Orgánica 15/2003, de 25 de noviembre, aquélla cobertura se encuentra en los arts. 282 y 363 de la Ley de enjuiciamiento criminal y en el art. 11.1 de la Ley Orgánica 2/1986, de 13 de marzo, de fuerzas y cuerpos de seguridad, en cuanto, de una parte, se trata de uno de los informes técnicos y periciales a los que se refiere el apartado g); de otra, su práctica se acomoda con naturalidad a la finalidad para la que las atribuciones policiales son conferidas por el legislador, esto es, para la averiguación de los delitos y la puesta a disposición judicial de sus presuntos autores; y, finalmente, porque la menor intensidad de la injerencia en el derecho fundamental, a la que luego nos referiremos, admite una relativa relajación de las exigencias de taxatividad en la norma que presta cobertura a aquella exigida por el Convenio europeo de derechos humanos. Así lo hemos afirmado, con cita de la STEDH en el caso Sociedad Plon c. Francia, de 18 de mayo de 2004, en nuestra STC 34/2010, de 19 de julio, con respecto a la menor injerencia que supone el carácter temporal de las medidas cautelares limitativas de un derecho fundamental (en el caso, los reconocidos en el art. 20.1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necesidad de autorización judicial, concluimos en la repetida STC 199/2013, de 5 de diciembre, que aun cuando el análisis de ADN efectuado no fuera ordenado judicialmente, no se lesionó el derecho del demandante a la intimidad personal, por las siguientes razones, expresadas en su fundamento jurídico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 la escasa, cuando no nula, incidencia material en la intimidad personal del demandante, que habría consistido en el riesgo de que el análisis de ADN fuese más allá de la mera identificación neutra, dada la naturaleza meramente identificativa del perfil genético obtenido a partir de los sectores no codificantes del ADN. En ningún momento de la demanda se explicita información alguna que haya sido revelada a través del análisis identificativo practicado que haya comprometido o pudiera comprometer la intimidad del demandante. Se pone así en evidencia que la lesión contra la que se pretende reaccionar derivaría de la conservación y utilización futura de perfiles del ADN obtenido a partir de la muestra tomada, pero no de la comparación neutral y exclusivamente identificativa del perfil de ADN del demandante con el extraído de los vestigios del delito investigado. De este modo, aun cuando cabe admitir que el peligro de futuros usos desviados del perfil de ADN del demandante podría eventualmente constituir una injerencia en la intimidad personal por el mero riesgo, huelga ahora realizar toda consideración al respecto en el seno de un proceso de amparo como éste en la medida en que no es el supuesto concretamente analizado. Tal es también el presupuesto del que parte la reciente Sentencia del Tribunal Supremo de los Estados Unidos en el caso Maryland v. King, de 3 de junio de 2013 (identificación del autor de un delito de violación a partir del análisis del ADN de quien fue detenido como sospechoso de otro delito grave posterior) al afirmar taxativamente que los marcadores utilizados para la identificación del ADN “están situados en partes no codificantes del ADN que no revelan las características genéticas del detenido. Si bien la ciencia siempre puede avanzar y esos progresos pueden llegar a tener trascendencia desde la perspectiva de la cuarta enmienda, los alelos en los marcadores CODIS no suministran actualmente otra información que la relativa a la identidad del sujeto.” En definitiva, la limitada incidencia que el análisis de ADN que se pretendía realizar y efectivamente se llevó a cabo tuvo en el derecho a la intimidad del demandante tolera en el caso concretamente analizado la omisión de la autorización judicial en un ámbito en el que, como hemos ya advertido, no constituye una exigencia constitucional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porque la actuación pericial, al ceñirse a las regiones de ADN no codificante, se ajustó a los estándares proporcionados por la normativa nacional e internacional reguladora del uso forense del ADN, con lo que se asegura que no se va más allá de la identificación neutral del sujeto. Tal normativa estaba constituida a la sazón por la Resolución del Consejo, de 25 de junio de 2001, relativa al intercambio de resultados de análisis de ADN (2001/C 187/01) —actualizada luego por la Resolución del Consejo de 30 de noviembre de 2009—, por la cual se insta a los Estados miembros a que limiten los resultados de análisis de ADN a las zonas cromosómicas que no contengan ningún factor de expresión de información genética, es decir, a las zonas cromosómicas que no contengan información sobre características hereditarias específicas. En el correspondiente anexo se especifican y enumeran los marcadores de ADN respecto de los que no se tiene constancia de que contengan información sobre características hereditarias específicas, recomendando a los Estados miembros que estén vigilantes a los avances científicos y preparados para borrar los resultados de análisis de ADN si dichos resultados contienen información sobre características hereditarias específicas. En el ámbito internacional, el Tratado entre el Reino de Bélgica, la República Federal de Alemania, el Reino de España, la República Francesa, el Gran Ducado de Luxemburgo, el Reino de los Países Bajos y la República de Austria relativo a la profundización de la cooperación transfronteriza, en particular en materia de lucha contra el terrorismo, la delincuencia transfronteriza y la migración ilegal, hecho en Prüm el 27 de mayo de 2005 (“BOE” núm. 307, de 25 de diciembre de 2006), obliga a los Estados parte a servirse “exclusivamente de perfiles de ADN obtenidos a partir de la parte no codificante del ADN”.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porque, aun cuando el análisis jurídico de las cuestiones suscitadas exige un estudio individualizado de las distintas fases de la actuación policial controvertida, no puede desconocerse que las circunstancias concretas del caso, consideradas en su globalidad, requerían una actuación urgente. Así, la eventual eficacia probatoria de los restos biológicos contenidos en el cigarrillo requería su rápida recogida, su urgente remisión a los laboratorios adecuados para su conservación y su pronto análisis, evitando todo riesgo de degradación de la muestra, contribuyendo a asegurar la cadena de custodia y minorando las posibilidades de contaminación de la muestra mediante el tratamiento de la misma siguiendo los protocolos ordinarios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porque el conjunto normativo entonces vigente, a diferencia de lo que ocurre con otros derechos fundamentales respecto de los que la Constitución y la Ley de enjuiciamiento criminal sí exigen resolución judicial que autorice las injerencias en los mismos (arts. 18.2 y 3, y 20.5 CE), no prevé expresamente la intervención judicial con carácter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porque la merma del control judicial que podría haberse derivado de la falta de autorización judicial se vio desvanecida por la aportación al proceso del resultado del análisis comparativo realizado tan pronto como estuvo disponible, momento a partir del cual la autoridad judicial se encontraba en disposición de realizar por sí el juicio de ponderación sobre la diligencia pericial efectuada, así como de acordar la práctica de un nuevo análisis o de completar el ya realizado, bien por propia iniciativa o bien a solicitud de la representación procesal del demandante de amparo. A diferencia de lo que acontece con pruebas irrepetibles, como las intervenciones telefónicas, el carácter pericial de la diligencia practicada y la disponibilidad de las muestras a analizar hacen que la pericia pueda no sólo ser sometida a debate en cuanto a sus conclusiones, sino que incluso pudiera ser reiterada con autorización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respeto al principio de proporcionalidad de la medida enjuiciada exige, tal como ya hemos avanzado, constatar que la medida adoptada sea susceptible de conseguir el objetivo propuesto (juicio de idoneidad); necesaria, en el sentido de que no exista otra medida más moderada para la consecución de tal propósito con igual eficacia (juicio de necesidad); y, finalmente, que sea ponderada o equilibrada, por derivarse de ella más beneficios o ventajas para el interés general que perjuicios sobre otros bienes o valores en conflicto (juicio de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expuesta conduce a afirmar el respeto al principio de proporcionalidad en la realización del análisis de ADN del demandante de amparo toda vez que: i) su comparación con el obtenido a partir del resto biológico hallado resultaba un medio adecuado para revelar la identidad de este último (idoneidad); ii) no existía un medio alternativo para comprobar si el demandante había participado o no en los hechos delictivos enjuiciados (necesidad) y, finalmente, iii) el modo en el que el análisis del ADN se practicó fue el menos invasivo de la intimidad personal en cuanto sólo afectó a las regiones no codificantes del ADN, esto es, a aquellas que tan sólo proporcionan datos identificativos mediante un análisis comparativo con el ADN obtenido a partir de otra muestra, excluyéndose por ello la revelación o puesta de manifiesto de toda característica personal que afectase a la intimidad personal. Es decir, la injerencia en el derecho fundamental consistió en el riesgo de comprometer la intimidad personal del demandante de amparo, riesgo que no llegó a materializarse (STC 199/2013, de 5 de diciembre,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estrecha relación con la queja que acabamos de examinar, se alega por el demandante la infracción del derecho de “autodeterminación informativa” previsto en el art. 18.4 CE, a causa de que la Ertzaintza habría procedido a incluir en una base de datos informatizada el resultado del análisis de las muestras genéticas, sin ningún tipo de control administrativo ni de otro orden, y sin que se conozca quiénes tienen acceso a tales datos ni quiénes son sus responsables, así como tampoco si esos datos personales van a ser utilizados para otros fines, durante cuánto tiempo se conservarán y si podrán ser utilizados en futuros procedimientos penales. A su juicio, la policía autonómica actuó al margen de la normativa vigente, por lo que estaríamos ante un ataque a la intimidad, al no darse las garantías suficientes y adecuadas en el tratamiento de estos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ya repetida STC 199/2013, de 5 de diciembre (FJ 12), tras recordar la doctrina contenida en la STC 292/2000, de 30 de noviembre, en relación con el derecho a la protección de datos, hemos afirmado que no cabe duda acerca de que el perfil de ADN obtenido a partir de una muestra biológica identifica a la persona, pero que no puede decirse que en el indicado perfil genético (el obtenido con efecto identificativo neutral) se incorporen otro tipo de datos que puedan contribuir a configurar un perfil o caracterización de la persona en sus aspectos “ideológico, racial, sexual, económico o de cualquier otra índole, o que sirvan para cualquier otra utilidad que en determinadas circunstancias constituya una amenaza para el individuo” (STC 292/2000, de 30 de noviembre, FJ 6), que es el ámbito de protección dispensada por el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ha de resaltarse que la identificación del demandante de amparo no se produjo como consecuencia de la incorporación de su perfil genético identificativo a una base de datos de personas sospechosas, sino que derivó de su comparación con los perfiles de ADN correspondientes a personas desconocidas que habían sido obtenidos a partir de muestras biológicas halladas en vestigios de otros hechos delictivos. De modo que de haberse producido la incorporación de sus datos se trataría de una actuación sin incidencia en el acto del poder público frente al que se demanda en amparo. Por lo demás nada impediría al demandante reaccionar contra esta pretendida e hipotética conservación de su perfil de ADN solicitando la eliminación del perfil de la base de datos a la que afirma que se incorporaron, lo que no consta haberse efectuado, de suerte que la lesión denunciada no sólo se construye sobre hechos no acreditados cumplidamente sino que tampoco se habrían agotado los remedios disponibles para lograr su reparación, primero ante la Administración y luego, en su caso, ante la jurisdicción ordinaria, en términos semejantes a los acontecidos en caso resuelto en la STEDH de 4 de diciembre de 2008, caso S. y Marper c. el Reino Unido.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ya hemos señalado que la obtención de los caracteres identificativos del demandante a partir del análisis de los sectores no codificantes de su ADN se produjo para una finalidad constitucionalmente legítima, como es la investigación de graves delitos relacionados con actividad de violencia callejera. Pues bien, “el derecho a la protección de datos no es ilimitado, y aunque la Constitución no le imponga expresamente límites específicos, ni remita a los poderes públicos para su determinación como ha hecho con otros derechos fundamentales, no cabe duda de que han de encontrarlos en los restantes derechos fundamentales y bienes jurídicos constitucionalmente protegidos, pues así lo exige el principio de unidad de la Constitución” (STC 292/2000, de 30 de noviembre, FJ 11, con remisión a las SSTC 11/1981, de 8 de abril, FJ 7; 196/1987, de 11 de diciembre, FJ 6; y respecto del art. 18, a la STC 110/1984, de 26 de noviembre, FJ 5). Pero es que tampoco consta que el perfil haya sido utilizado para una finalidad distinta de aquella para la que se obtuvo, ni que haya sido objeto de cesión o tratamiento distinto de aquél para el que se obtuvo.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Rechazada, por las razones ya expuestas, la queja referida a la infracción del derecho a la presunción de inocencia (art. 24.2 CE) que la demanda sustenta en que los órganos judiciales hubiesen apreciado como prueba de cargo el análisis de ADN realizado sin autorización judicial, debemos descartar también que el mencionado derecho a la presunción de inocencia haya resultado infringido por falta de intervención judicial en el momento de la toma de los restos biológicos contenidos en el cigarrillo (por las razones expuestas en relación con la innecesariedad de la autorización judicial para la realización del análisis) o por falta de preservación de la denominada cadena de custodia de la muestra biológica obtenida, esto es, el aseguramiento de que la muestra recogida fue la misma que sirvió para el análisis comparativo posteriormente efectuado con el perfil de ADN obtenido a partir de la prenda recogida en el lugar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forma a como hemos apreciado en la STC 199/2013, de 5 de diciembre [FJ 4 c)], debemos ahora consignar que la cuestión fue abordada en la Sentencia de la Audiencia Nacional que condenó al recurrente, alcanzando la conclusión de que no existía duda acerca de la identidad de la muestra analizada, en consideración al contenido de las declaraciones efectuadas en el juicio oral por los policías que la recogieron, quienes dieron explicaciones sobre los protocolos y métodos de obtención, de las clases de análisis que se efectuaron, de su conservación, y de cómo adoptaron las medidas oportunas para evitar la contaminación de los objetos que contenían las muestras biológicas, ratificándose en las actuaciones que constaban en autos y sometiéndose tanto a las preguntas de la acusación como de la defensa. Se trata, por tanto, de una cuestión de hecho que no puede ser objeto de pronunciamiento por parte de este Tribunal [art. 44.1 b) de la Ley Orgánica del Tribunal Constitucional] más que respecto a la regularidad y suficiencia de los medios de prueba que condujeron a dar por acreditado el hecho. En todo caso, el dato al que se refiere la prueba no es estrictamente el hecho delictivo, sino un aspecto parcial de uno de los medios de prueba, siendo doctrina asentada del Tribunal (STC 126/2011, de 18 de julio, FJ 22, entre otras) que “el derecho fundamental a la presunción de inocencia no puede ser invocado con éxito para cubrir cada episodio, vicisitud, hecho o elemento debatido en el proceso penal, o parcialmente integrante de la resolución final que le ponga término. Los límites de nuestro control no permiten desmenuzar o dilucidar cada elemento probatorio, sino que debe realizarse un examen general y contextualizado de la valoración probatoria para puntualizar en cada caso si ese derecho fue o no respetado, concretamente en la decisión judicial condenatoria, pero tomando en cuenta el conjunto de la actividad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también en relación con el derecho a la presunción de inocencia (art. 24.2 CE), aduce el demandante que, con independencia de su queja sobre la ilicitud de la prueba de ADN, no existe prueba de cargo suficiente para la condena, pues, a su juicio, concurren otros elementos probatorios, como las declaraciones prestadas en el juicio oral por algunos testigos, que conducirían a una conclusión contraria a la alcanzada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queja debemos partir de que, como recuerda la STC 70/2010, de 18 de octubre, el derecho a la presunción de inocencia se configura como el derecho a no ser condenado sin pruebas de cargo válidas, lo que exige una mínima actividad probatoria, realizada con las garantías necesarias, referida a todos los elementos esenciales del delito, y que de la misma quepa inferir razonablemente los hechos y la participación del acusado en los mismos. De este modo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por ilógico o por insuficiente no sea razonable el iter discursivo que conduce de la prueba al hecho probado”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 las dos vertientes en que se desdobla en la demanda el motivo de amparo basado en la vulneración del derecho a la presunción de inocencia (art. 24.2 CE), ya hemos rechazado, con lo afirmado en los fundamentos jurídicos precedentes, la primera de ellas, referida a la utilización de prueba ilícita. Tal como hemos expuesto, el análisis de muestras biológicas del demandante ha sido practicado respetando las exigencias constitucionales y sin lesión de los derechos a la intimidad (art. 18.1 CE) y a la autodeterminación informativa (art. 18.4 CE), por lo que su utilización como prueba no constituye lesión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la segunda vertiente de la queja, referida a irrazonabilidad de la inferencia a partir de la cual los órganos judiciales concluyen la culpabilidad del recurrente, es preciso traer a colación, brevemente, la doctrina de este Tribunal según la cual, a falta de prueba directa de cargo, también la prueba indiciaria puede sustentar un pronunciamiento condenatorio sin menoscabo del derecho a la presunción de inocencia, siempre que: los hechos bases o indicios estén plenamente probados; los hechos constitutivos del delito se deduzcan precisamente de estos hechos bases completamente probados; se pueda controlar la razonabilidad de la inferencia, para lo que es preciso, en primer lugar, que el órgano judicial exteriorice los hechos que están acreditados, o indicios, y, sobre todo que explique el razonamiento o engarce lógico entre los hechos base y los hechos consecuencia; y, finalmente, que este razonamiento esté asentado en las reglas del criterio humano o de la experiencia común (SSTC 300/2005, de 21 de noviembre, FJ 3; 111/2008, de 22 de septiembre, FJ 3; y 70/2010,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partiendo de “la radical falta de competencia de esta jurisdicción de amparo para la valoración de la actividad probatoria practicada en un proceso penal y para la evaluación de dicha valoración conforme a criterios de calidad o de oportunidad” (SSTC 137/2005, de 23 de mayo, FJ 2, y 111/2008, de 22 de septiembre, FJ 3), sólo cabe considerar vulnerado el derecho a la presunción de inocencia en este ámbito de enjuiciamiento cuando “la inferencia sea ilógica o tan abierta que en su seno quepa tal pluralidad de conclusiones alternativas que ninguna de ellas pueda darse por probada” (SSTC 229/2003, de 18 de diciembre, FJ 4; 111/2008, de 22 de septiembre, FJ 3; 109/2009, de 11 de mayo, FJ 3; y 70/2010,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constitucional expuesta, podemos anticipar ya la desestimación del presente motivo de amparo, que ofrece semejanza con el resuelto en la STC 135/2003, de 30 de junio, en la que apreciamos que la existencia de un indicio plenamente acreditado (la presencia de huellas dactilares en el lugar de la acción delictiva) unido a la futilidad del relato alternativo ofrecido por el recurrente, permitía inferir, conforme a las reglas de la lógica, su participación en los hechos, descartando que la conclusión del Tribunal sentenciador fuera excesivamente abierta o indeterminada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acontece también en el presente caso, en el que para estimar acreditada la participación en los hechos del demandante, los órganos judiciales tomaron en consideración la aparición de su huella genética en el lugar de los hechos, debiéndose considerar que la prueba de ADN es prueba directa, y no mero indicio, de que se produjo contacto directo del recurrente con la prenda hallada en la escena delictiva, a partir de lo cual y ante la mera negativa del demandante acerca de su presencia en el lugar cuando ocurrió la acción delictiva, la inferencia de los órganos judiciales de la participación del recurrente en el atentado terrorista se presenta como una conclusión plenamente ajustada a las reglas de la lógica y de la experiencia. Precisamente, en relación con este último elemento hemos afirmado en ocasiones precedentes que si bien la inexistencia o la inconsistencia del relato alternativo no puede sustituir la ausencia de prueba de cargo, so pena de asumir el riesgo de invertir la carga de la prueba, sí puede servir como contraindicio o como elemento de corroboración de los indicios a partir de los cuales se infiere la culpabilidad (por todas, SSTC 142/2009, de 15 de junio, FJ 6; y 128/2011, de 18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otro juicio compete a este Tribunal, pues conviene recordar, de un lado, que nuestra jurisdicción se ciñe a efectuar un control externo, de modo que “el juicio de amparo constitucional versa acerca de la razonabilidad del nexo establecido por la jurisdicción ordinaria, sin que podamos entrar a examinar otras posibles inferencias propuestas por quien solicita el amparo” (STC 220/1998, de 16 de noviembre, FJ 3) y, de otro, que “entre diversas alternativas igualmente lógicas, nuestro control no puede alcanzar la sustitución de la valoración efectuada por los órganos judiciales, ni siquiera afirmar que fuera significativamente más probable un acaecimiento alternativo de los hechos” (STC 124/2001, de 4 de junio, FJ 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Zigor Blanco Santiesteban.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10616-2006 avocado al Pleno, al que se adhiere el Magistrado don Luis Ignacio Ortega Álvarez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STC 199/2013, de 5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de enero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Andrés Ollero Tassara respecto a la Sentencia del Pleno de fecha 30 de enero de 2014 dictada en el recurso de amparo avocado núm. 10616-2006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el máximo respeto a la opinión de la mayoría dejo constancia de mi opinión discrepante, puesta ya de manifiesto durante la deliberación de la Sentencia, tanto respecto de la fundamentación jurídica como del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los hechos enjuiciados en la Sentencia recurrida en amparo merecen el más drástico reproche y generaron sin duda notable alarma social, con las obligadas consecuencias en el plano de la legalidad penal, lamento constatar que desde el plano constitucional se aprecian circunstancias similares a las que me llevaron a formular Voto particular en relación a la reciente Sentencia 199/2013, de 5 diciembre, lo que me obliga a aplicar en el presente caso argumentación idéntica a la entonces expuesta, a la que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de enero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