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30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10619-2006, avocado al Pleno, promovido por don Egoitz Coto Etxeandía, representado por el Procurador de los Tribunales don Javier Cuevas Rivas y asistido por el Letrado don Alfonso Zenón Castro, contra la Sentencia de la Sala de lo Penal del Tribunal Supremo de 4 de octubre de 2006 que desestimó el recurso de casación núm. 10203-2006 interpuesto contra la Sentencia de la Sección Segunda de la Sala de lo Penal de la Audiencia Nacional de 30 de noviembre de 2005, dictada en el rollo núm. 30-2003.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noviembre de 2006, el Procurador de los Tribunales don Javier Cuevas Rivas, en nombre y representación de don Egoitz Coto Etxeandía,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en los que tiene su origen 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Penal de la Audiencia Nacional dictó Sentencia el 30 de noviembre de 2005 por la que condenó al recurrente, junto a otras cuatro personas, como autor de dos delitos de asesinato terrorista en grado de tentativa, a la pena de diez años de prisión por cada uno, con la accesoria de dieciséis años de inhabilitación absoluta; y, como autor de un delito de daños, a la pena de dos años de prisión con la accesoria de nueve años de inhabilitación absoluta; así como a la responsabilidad civil consiguiente, en favor de las víctimas y entidades perjudicadas por los daños y perjuicios causados; y al abono de las costas procesales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relato de los hechos declarados probados, el recurrente, junto a otros integrantes de un grupo organizado y siguiendo un plan preestablecido en el marco de las acciones de la llamada lucha callejera o “kale borroka”, el día 5 de agosto de 2001, tras inutilizar previamente el alumbrado público, procedieron a lanzar artificios incendiarios contra la sucursal núm. 5 de la entidad bancaria BBK en Portugalete, al objeto de que acudieran funcionarios de la Ertzaintza. Personados dos agentes en un vehículo camuflado, fueron reconocidos por los asaltantes, quienes procedieron a romper los cristales del vehículo policial con numerosos objetos contundentes y lanzaron a su interior “cócteles molotov”, incendiando el vehículo y causando graves quemaduras a los dos agentes que se encontraban en su interior, quienes tuvieron que ser rescatados por otros compañeros que acudieron en su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resultas de dicha acción, uno de los agentes sufrió quemaduras en el 10 por 100 de su cuerpo, que le afectaron a la cara, espalda y brazo izquierdo, quedándole secuelas diversas; el segundo agente sufrió quemaduras en el 30 por 100 de su cuerpo, que le afectaron a la cara, cuello, ambas manos, antebrazos, brazos y espalda, quedándole también importantes secuelas. Se causaron daños en la oficina bancaria y en diversos vehículos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contra la Sentencia, por infracción de precepto constitucional, invocando la lesión de sus derechos a la intimidad (art. 18.1 CE) y a la autodeterminación informativa (art. 18.4 CE), así como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de lo Penal del Tribunal Supremo dictó la Sentencia núm. 949/2006, de 4 de octubre, mediante la que desestimó el recurso de casación presentado por el recurrente, confirmándose así el pronunciamiento condenatorio de instancia respecto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vulneración del derecho a la intimidad personal (art. 18.1 CE) a causa de que el análisis del perfil genético del recurrente fue realizado por la policía autonómica sin ningún tipo de control. Se afirma que esta prueba se realizó tras haber recogido un agente una colilla de cigarrillo arrojada por el recurrente cuando se encontraba detenido por otra causa, confrontándose con los restos genéticos hallados en una prenda utilizada durante la actuación delictiva. Considera que tal análisis, pese a no suponer una intervención corporal, habría precisado de autorización judicial, pues afecta al derecho a la intimidad, al poder revelar datos sensibles e íntimos de la persona, por lo que su práctica debió estar rodeada de esta garantía, para tener así seguridad de que las personas que lo realizan no se exceden en su cometido y evitar abusos o cesión de datos a terceros no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alega el demandante la infracción de la garantía de “autodeterminación informativa” prevista en el art. 18.4 CE, a causa de que la Ertzaintza habría procedido a incluir en una base de datos informatizada el resultado del análisis de las muestras genéticas del recurrente, sin ningún tipo de control administrativo ni de otro orden, sin que se sepa quién o quiénes tienen acceso a tales datos ni quiénes son sus responsables, ni si esos datos personales van a ser utilizados para otros fines o durante cuánto tiempo se conservarán y si podrán ser utilizados en futuros procedimientos penales. Se habría actuado por dicha policía autonómica al margen de la normativa vigente, por lo que estaríamos ante un ataque a la intimidad, por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aduce la infracción del derecho a la presunción de inocencia (art. 24.2 CE) porque los órganos judiciales habrían apreciado como prueba de cargo el análisis de ADN, que no puede considerarse válida por haberse realizado sin autorización judicial, resultando que todas las demás derivadas de esta prueba también han de reputarse ilícitas por aplicación de lo dispuesto en el art. 11.1 de la Ley Orgánica del Poder Judicial (LOPJ). Además, se da una falta absoluta de intervención judicial en “la toma de muestra indubitada” (colilla arrojada en la celda), siendo así que cuando se quiere que esta diligencia tenga carácter probatorio ha de intervenir un Juez, de forma que con su participación queden precisados el objeto recogido, el lugar donde éste se encontraba y las demás circunstancias necesarias para dejar acreditada la pertenencia a la persona a la que se atribuye. En este caso el análisis se ha practicado sobre muestras biológicas del recurrente obtenidas y conservadas subrepticiamente, no siendo recogidas por un médico forense sino por un policía sin ninguna preparación al respecto. Por otra parte, no se documentó convenientemente la recogida de las muestras, no existiendo la más mínima “cadena de custodia” que demuestre que la evidencia recogida contenga la saliva del recurrente, dándose cuenta al Juez de estas diligencias muy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también lesionado el derecho a la presunción de inocencia (art. 24.2 CE) porque, con independencia de la licitud o no de la prueba de ADN, no concurre prueba de cargo suficiente para la condena. Así, este análisis no pasa de ser sino una mera prueba indiciaria, limitándose el órgano judicial en este caso a recoger la coincidencia del perfil genético del imputado con el encontrado en la prenda intervenida, sin darse explicación alguna sobre cómo tal circunstancia avalaría su participación en los hechos probados. Por el contrario, concurren otros elementos probatorios, como las declaraciones prestadas en el juicio oral por algunos testigos, que conducirían a una conclusión contraria, al desprenderse de éstas que la prenda encontrada podría haber estado en el lugar de los hechos con anterioridad o bien podría haber sido utilizada por otra persona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entiende el demandante que se ha producido una violación de su derecho a un proceso con todas las garantías (art. 24.2 CE), por cuanto el recurso de casación interpuesto no ha satisfecho el derecho a la doble instancia en materia penal establecido en el art. 14.5 del Pacto internacional de los derechos civiles y políticos (PIDCP). Dicho recurso no habría supuesto un mecanismo efectivo de control del fallo condenatorio y de la pena impuesta, al no permitir al Tribunal Supremo proceder a una nueva valoración de la prueba y de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2008 la Sección Cuarta de este Tribunal, de conformidad con lo dispuesto en el art. 50.3 de la Ley Orgánica del Tribunal Constitucional (LOTC) en su redacción anterior a la aprobada por la Ley Orgánica 6/2007, de 24 de mayo, acordó conceder un plazo común de diez días a la parte demandante de amparo y al Ministerio Fiscal para que formularan las alegaciones que estimasen pertinentes acerca de la conveniencia de apreciar la causa de inadmisión prevista en el art. 50.1 c) LOTC, consistente en la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cumplimentó el trámite de alegaciones mediante escrito registrado el 18 de noviembre de 2008, en el que sostuvo que el recurso no carecía de contenido constitucional, reiterando en lo sustancial los razonamientos jurídicos ya expresados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del Tribunal el día 3 de diciembre de 2008, el Ministerio Fiscal formuló sus alegaciones, solicitando la inadmisión de la demanda por falta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análisis genético practicado por la policía autonómica sin contar con autorización judicial ni consentimiento del afectado, comienza el Fiscal señalando que desvelar el ADN no codificante a los meros efectos identificativos de una persona para su imputación criminal comporta una injerencia mínima en su derecho a la intimidad, pues todas las personas poseen datos identificativos de público conocimiento y de obligada constatación desde el momento mismo de su nacimiento. No obstante, la ley puede autorizar a la policía judicial la práctica de determinadas inspecciones, reconocimientos e incluso intervenciones corporales leves, señalando el art. 11.1 g) de la Ley Orgánica 2/1986, de 13 de marzo, de fuerzas y cuerpos de seguridad, que éstas, entre otras funciones, tienen la de “investigar los delitos para descubrir y detener a los presuntos culpables, asegurar los instrumentos, efectos y pruebas del delito, poniéndoles a disposición del Juez o Tribunal competente y elaborar los informes técnicos y periciales procedentes”, por lo que, en este caso, el análisis de las muestras biológicas recogidas tiene cobertura legal. Por lo demás, el analizar los restos de un cigarrillo para poder determinar el perfil genético de una persona a los meros efectos identificativos, a fin de compararlo con el perfil genético de personas implicadas en graves hechos delictivos cuya identidad era desconocida, respeta los principios de proporcionalidad y razonabilidad, al no existir otro modo de posible actuación investigadora.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lesión de la libertad informativa del art. 18.4 CE, rechaza el Fiscal que se haya producido, pues el análisis se ha realizado por un organismo público sujeto a una rígida normativa en su funcionamiento y a los mecanismos de control y seguridad normativamente previstos. De otra parte, el fichero en el que se recogen los datos investigados está excluido del régimen de la Ley Orgánica 15/1999, de 13 de diciembre, de protección de datos de carácter personal, a la vista de su art. 2.2 c), al tratarse de la investigación del “terrorismo y otras formas graves de delincuencia organizada”. Así las cosas, los datos archivados se limitan a desvelar los perfiles genéticos pertenecientes a autores de delitos de estas características para proceder a su identificación, concurriendo las notas tanto de necesidad como de adecuación y proporción, pues, dada la forma de actuación delictiva, la identidad de los partícipes en la misma no es susceptible de ser conocida por otros métodos.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toma de las muestras, razona el Ministerio público que parece claro que las colillas arrojadas al suelo por el demandante podían ser recogidas por los funcionarios policiales; es más, dicha recogida, si hubiera sido seguida de su ulterior tratamiento como basura, no sería objetable por el demandante. No sólo esta actuación estaría amparada por el art. 11.1 de la Ley Orgánica 2/1986 y el art. 282.1 de la Ley de enjuiciamiento criminal, que autorizan a la policía judicial a recoger las pruebas de los delitos, sino que también parece razonable que una pronta y cuidadosa recogida de estos restos biológicos, para evitar así riesgos de manipulación y contagio, presenta menos riesgos que una actuación más alejada en el tiempo. Por otra parte, la concurrencia en este caso de la denominada “cadena de custodia” de dichas muestras ha podido ser valorada por los órganos judiciales a través de los testimonios en el juicio oral de los policías intervinientes, tanto de los que recogieron las colillas, como de los que las enviaron al laboratorio y de los peritos que realizaron los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al cuarto motivo, entiende el Fiscal que no se ha producido lesión alguna de la presunción de inocencia, pues la Sentencia condenatoria tuvo por acreditados los hechos en virtud de una pluralidad de pruebas testificales y periciales, extendiéndose en sus razonamientos sobre la coincidencia del perfil genético del recurrente con el hallado en la prenda intervenida. Además, el órgano judicial examinó la prueba de descargo presentada por su defensa, considerándola irrelevante, apareciendo huérfana de todo sustento la afirmación que se hace en la demanda de que otros indicios avalarían una conclusión contraria respecto a la autoría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aprecia el Fiscal una vulneración del derecho a la segunda instancia penal, porque las cuestiones planteadas por el condenado en su recurso de casación (sobre la validez del análisis de ADN, ausencia de prueba de cargo para su condena y otras) han sido examinadas por el Tribunal Supremo, satisfaciéndose así las exigencias del art.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marzo de 2009 la Sala Segunda de este Tribunal acordó admitir a trámite la demanda y, a tenor de lo dispuesto en el art. 51 LOTC, solicitar a la Sala de lo Penal del Tribunal Supremo y a la Sección Segunda de la Sala de lo Penal de la Audiencia Nacional la remisión de certificación o fotocopia adverada de las actuaciones correspondientes al recurso de casación núm. 10203-2006 y al rollo núm. 30-2003, respectivamente. También se acordó que se procediera al emplazamiento de quienes hubiesen sido parte en el procedimiento, excepto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Habiéndose solicitado, por otrosí en la demanda, la suspensión de la ejecución de la Sentencia condenatoria impugnada, por providencia de 17 de marzo de 2009 la Sala Segunda acordó formar la correspondiente pieza separada de medidas cautelares y, de conformidad con lo previsto en el art. 56.4 LOTC, conceder un plazo común de tres días al Ministerio Fiscal y a la parte recurrente para que alegasen lo que estimaran pertinente en relación con dicha pretensión. El Fiscal presentó sus alegaciones mediante escrito registrado el 2 de abril de 2009, solicitando la denegación de la petición suspensiva. El demandante reiteró su solicitud por escrito de 8 de abril de 2009. Finalmente, la Sala dictó el ATC 139/2009, de 11 de mayo, mediante el que se denegó la suspensión solicitada, tanto en relación a las penas privativas de libertad y sus accesorias, como en orden a los pronunciamientos de contenido patrimonial 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30 de junio de 2009 se acordó, a tenor de lo dispuesto en el art. 52.1 LOTC, dar vista de las actuaciones por un plazo común de veinte días al Ministerio Fiscal y al recurrente en amparo, para que presentaran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cumplimentó este trámite de alegaciones el 15 de julio de 2009, solicitando la denegación del amparo, con base en los razonamientos ya expuestos en su anterior informe. La representación procesal del demandante de amparo presentó escrito, registrado el 1 de septiembre de 2009, en el que se ratifican las alegaciones contenidas en el escrito de demanda y se añaden algunas consideraciones en refuerzo de las anteriores pero sin alterar su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propuesta de la Sala Segunda y de conformidad con lo establecido el art. 10.1 n) LOTC, el Pleno del Tribunal, por providencia de 13 de enero de 2014,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enero de 2014, se acordó señalar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impugnación en el presente proceso de amparo la Sentencia de la Sección Segunda de la Sala de lo Penal de la Audiencia Nacional de 30 de noviembre de 2005 que condenó al recurrente como autor de dos delitos de asesinato terrorista en grado de tentativa y un delito de daños, así como la Sentencia de la Sala de lo Penal del Tribunal Supremo de 4 de octubre de 2006 que desestimó el recurso de casación formulado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atribuye a estas resoluciones la vulneración de su derecho a la intimidad personal (art. 18.1 CE), al haberse realizado por la policía autonómica vasca sin autorización judicial un análisis de muestras biológicas suyas que fue confrontado con el de otras halladas en el lugar de los hechos; al tiempo, se habría infringido el derecho a la “autodeterminación informativa” reconocido en el art. 18.4 CE, por haberse incluido su perfil de ADN en un fichero policial sin respetarse las garantías previstas en el ordenamiento para el tratamiento de este tipo de datos de naturaleza personal. Además, dice haberse infringido el derecho a la presunción de inocencia (art. 24.2 CE) al haberse sustentado su condena en la prueba antes indicada, cuya ilicitud debió privarla de todo valor, dada la ausencia de control judicial y no haberse respetado por la policía la necesaria “cadena de custodia” sobre las muestras biológicas. Se añade que, con independencia de lo dicho, la coincidencia de su perfil genético con el encontrado en la prenda intervenida en el lugar de los hechos no es concluyente de su participación en los mismos, existiendo en las actuaciones otros elementos probatorios que avalan una conclusión contraria. Finalmente, aduce la lesión del derecho a un proceso con todas las garantías (art. 24.2 CE) ya que, a su juicio, el recurso de casación formulado no ha servido como un mecanismo efectivo de revisión de la condena impuesta en los términos exigidos por el art. 14.5 del Pacto internacional de los derechos civiles y políticos (en adelante,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de amparo, pues la injerencia mínima que pueda suponer la realización del análisis genético del recurrente, con finalidad meramente identificativa, estaba permitida legalmente a la policía judicial en el marco de sus obligaciones de investigación del delito, concurriendo en este caso las notas de proporcionalidad y razonabilidad. La libertad informativa tampoco ha sido vulnerada pues el procesamiento de datos fue efectuado por un organismo público con la única finalidad de desvelar los perfiles genéticos de autores de delitos de graves características, estando excluido este fichero del régimen de la Ley Orgánica 15/1999, de 13 de diciembre, de protección de datos de carácter personal. De otro lado, añade que entre las funciones de la policía también está la de recoger las pruebas del delito, en este caso los restos biológicos, pudiendo haber sido comprobada por el Tribunal sentenciador la regularidad de la “cadena de custodia” de las muestras a través de los interrogatorios en el juicio de los funcionarios policiales, concurriendo prueba válida en la que basar la condena del recurrente. Por último, estima que el recurso de casación resuelto por el Tribunal Supremo ha cumplido adecuadamente su función en orden a la revisión de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nuestro habitual criterio de otorgar prioridad al enjuiciamiento de aquellas quejas cuya estimación pudiera conllevar la retroacción de actuaciones (por todas, STC 182/2009, de 7 de septiembre, FJ 3), comenzaremos por la referida a la lesión del derecho a un proceso con todas las garantías (art. 24.2 CE), que, a juicio del demandante, se habría producido como consecuencia de que el recurso de casación formulado no ha supuesto un mecanismo efectivo de revisión de la condena impuesta en los términos exigidos por el art. 14.5 PIDCP, al no haberse realizado por el Tribunal Supremo un nuevo examen crítico del material probatorio aportado.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conviene recordar que este Tribunal Constitucional ha ido conformando un cuerpo de doctrina, fundamentalmente a partir de la STC 70/2002, de 3 de abril, FJ 7, con arreglo a la cual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(en el mismo sentido, SSTC 105/2003, de 2 de junio, FJ 2; 116/2006, de 24 de abril, FJ 5; y 60/2008, de 26 de mayo, FJ 4). Precisando las posibilidades de revisión en sede casacional y, en concreto, la posibilidad de examinar los hechos probados, hemos resaltado que nuestro sistema casacional no se limita al análisis de cuestiones jurídicas y formales, sino que actualmente, a través de la invocación del 24.2 CE (tanto del derecho a un proceso con todas las garantías como, fundamentalmente, del derecho a la presunción de inocencia), es posible que el Tribunal Supremo controle tanto la licitud de la prueba practicada en la que se fundamenta el fallo, como su suficiencia para desvirtuar la presunción de inocencia y la razonabilidad de las inferencias realizadas (STC 116/2006, de 24 de abril, FJ 5). Por tanto, el recurrente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la valoración de la prueba” (STC 136/2006,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Sala de lo Penal del Tribunal Supremo, luego de justificar ampliamente en su Sentencia la validez y eficacia de la prueba de ADN practicada (fundamentos jurídicos 2 a 4), pone de relieve que la inferencia realizada por la Audiencia Nacional sobre la participación del acusado no es irrazonable y responde a las reglas de la experiencia, “contrastando el valor incriminatorio de los análisis de ADN con las pruebas testificales de descargo presentadas por las defensas, explicitando de forma racional y lógica por qué no les concede suficiente credibilidad, a la vez que refiere el resto de las pruebas que confirman su convicción” (fundamento jurídico 7), añadiendo que la falta de explicación alternativa de cómo pudieron aparecer aquellas huellas genéticas puede ser valorada por la Sala para reforzar su convicción (mismo fundamento jurídico 7). Posteriormente, el Tribunal de casación, con ocasión de perfilar el carácter de la acción perpetrada, procede a una ponderación de las declaraciones de los funcionarios policiales que sufrieron el atentado y de los testigos que lo presenciaron, concluyendo que la conducta del recurrente se enmarcó en un ataque colectivo dentro de las acciones denominadas como “kale borroka”, en el que todos los condenados intervinieron en el acuerdo previo y ostentaron dominio funcional del hecho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Tribunal Supremo ha procedido a una revisión de la Sentencia condenatoria en términos constitucionalmente adecuados a las exigencias del art. 24.2 CE, interpretado a la luz del art. 14.5 PIDCP, realizando un análisis detallado de la prueba practicada, para concluir que no se había producido ningún error de valoración y que las inferencias realizadas en la instancia eran conformes a las reglas de la lógica y de la experiencia, no incurriendo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queja formulada por el recurrente es la referida a la vulneración de su derecho a la intimidad (art. 18.1 CE) como consecuencia de haber procedido la policía autonómica vasca, sin su consentimiento ni autorización judicial, a extraer el ADN de muestras biológicas obtenidas de cigarrillos arrojados por él en el calabozo donde se hallaba detenido por otros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199/2013, de 5 de diciembre, tras recordar la doctrina de este Tribunal en relación con el derecho a la intimidad, con particular atención a las resoluciones dictadas en materia de intervenciones o reconocimientos corporales (SSTC 207/1996, de 16 de diciembre; 196/2004, de 15 de noviembre; 25/2005, de 14 de febrero; y 206/2007, de 24 de septiembre), así como a determinados pronunciamientos del Tribunal Europeo de Derechos Humanos que ponen de manifiesto que el derecho a la vida privada resulta ya comprometido por la mera conservación y almacenamiento de muestras biológicas y perfiles de ADN (STEDH de 4 de diciembre de 2008, caso S. y Marper c. Reino Unido; y decisión de inadmisión de 7 de diciembre de 2006, caso Van der Velden c. Países Bajos), concluimos que el análisis de la muestra biológica del demandante de amparo supone una injerencia en el derecho a la privacidad por los riesgos potenciales que de tal análisis pudieran derivarse (FJ 6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afirmada la existencia de injerencia en la vida privada, el Tribunal Europeo de Derechos Humanos sitúa la cuestión en la justificación de la medida en términos compatibles con el Convenio europeo para la protección de los derechos humanos y de las libertades fundamentales (CEDH). Y así, en la primera de las resoluciones citadas, al abordar el estudio de la existencia de un fin legítimo que justificase la injerencia apreciada, el Tribunal Europeo se ocupa de remarcar oportunamente la diferencia existente entre el supuesto abordado —conservación de muestras biológicas y perfiles de ADN para la identificación de los autores de futuros hechos delictivos— de aquellos otros casos en los cuales “la extracción inicial está destinada a vincular a una persona determinada con un delito concreto que se sospecha que ha cometido” (§ 100). El reproche del Tribunal Europeo de Derechos Humanos se dirige a la conservación indefinida por las autoridades policiales de muestras biológicas y perfiles de ADN de personas no condenadas con la finalidad de identificar a los autores de futuros hechos delictivos, pero no a la identificación de los autores de hechos delictivos a través del contraste del ADN obtenido a partir de muestras biológicas del sospechoso “con vestigios anteriores conservados en la base de datos” (§ 116). La censura se realiza, por tanto, a la conservación de los datos personales, pues el Tribunal Europeo de Derechos Humanos afirma que “se ha de considerar que el mero hecho de que las autoridades públicas conserven o memoricen datos de carácter personal, cualquiera que sea la manera en la que hayan sido obtenidos, tiene unas consecuencias directas en la vida privada de la persona afectada, tanto si se utilizan o no estos datos posteriormente” (§ 119). A su vez, en la decisión de inadmisión anteriormente citada el Tribunal Europeo de Derechos Humanos consideró que la injerencia en el derecho a la vida privada, prevista legalmente, resulta razonable en atención a que se impone a los condenados por delitos de cierta gravedad y que, a la postre, podría incluso beneficiarles al favorecer su exclusión de una eventual lista de sospechosos.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nuestra parte, en las SSTC 70/2002, de 3 de abril, FJ 10; 89/2006, de 27 de marzo, FJ 3; y 207/1996, de 16 de diciembre, FJ 4, señalamos que los requisitos que proporcionan una justificación constitucional objetiva y razonable a la injerencia en el derecho a la intimidad son los siguientes: la existencia de un fin constitucionalmente legítimo; que la medida limitativa del derecho esté prevista en la ley (principio de legalidad); que como regla general se acuerde mediante una resolución judicial motivada (si bien reconociendo que debido a la falta de reserva constitucional a favor del Juez, la ley puede autorizar a la policía judicial la práctica de inspecciones, reconocimientos e incluso de intervenciones corporales leves, siempre y cuando se respeten los principios de proporcionalidad y razonabilidad) y, finalmente, la estricta observancia del principio de proporcionalidad, concretado, a su vez, en las tres siguientes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199/2013, de 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exigencia de que la medida que supone una injerencia en el derecho a la intimidad esté orientada a la consecución de un fin constitucionalmente legítimo, “ya hemos dejado constancia de que el Tribunal Europeo de Derechos Humanos ha considerado legítima la práctica de estos análisis cuando está destinada a vincular a una persona determinada con un delito concreto que se sospecha que ha cometido (STEDH de 4 de diciembre de 2008, caso S. y Marper c. el Reino Unido, § 100)” (STC 199/2013, de 5 de diciembre, FJ 8). En el caso analizado la prueba pericial de obtención del ADN no codificante, que no permite la obtención de otros datos que los meramente identificativos, se produjo con la finalidad de ser comparado con los restos hallados en una prenda utilizada en la realización del hecho delictivo, teniendo como único objeto la averiguación de la persona que había utilizado la mencionada prenda en la perpetración de aquél, de muy intensa gravedad, como son los dos delitos de asesinato terrorista en grado de tentativa y otro de daños, por lo que no cabe duda alguna de la concurrencia de un fin legítimo en la medida adoptada por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cobertura legal de las diligencias periciales practicadas por la policía judicial, hemos de partir, como hace la STC 199/2013, de 5 de diciembre, FJ 9, de que habiendo ocurrido los hechos antes de la reforma llevada a cabo por la Ley Orgánica 15/2003, de 25 de noviembre, aquélla cobertura se encuentra en los arts. 282 y 363 de la Ley de enjuiciamiento criminal y en el art. 11.1 de la Ley Orgánica 2/1986, de 13 de marzo, de fuerzas y cuerpos de seguridad, en cuanto, de una parte, se trata de uno de los informes técnicos y periciales a los que se refiere el apartado g); de otra, su práctica se acomoda con naturalidad a la finalidad para la que las atribuciones policiales son conferidas por el legislador, esto es, para la averiguación de los delitos y la puesta a disposición judicial de sus presuntos autores; y, finalmente, porque la menor intensidad de la injerencia en el derecho fundamental, a la que luego nos referiremos, admite una relativa relajación de las exigencias de taxatividad en la norma que presta cobertura a aquella exigida por el Convenio europeo para la protección de los derechos humanos y de las libertades fundamentales. Así lo hemos afirmado, con cita de la STEDH en el caso Sociedad Plon contra Francia, de 18 de mayo de 2004, en nuestra STC 34/2010, de 19 de julio, con respecto a la menor injerencia que supone el carácter temporal de las medidas cautelares limitativas de un derecho fundamental (en el caso, los reconocidos en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necesidad de autorización judicial, concluimos en la repetida STC 199/2013, de 5 de diciembre, que aun cuando el análisis de ADN efectuado no fuera ordenado judicialmente, no se lesionó el derecho del demandante a la intimidad personal, por las siguientes razones, expresadas en su fundamento jurídico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la escasa, cuando no nula, incidencia material en la intimidad personal del demandante, que habría consistido en el riesgo de que el análisis de ADN fuese más allá de la mera identificación neutra, dada la naturaleza meramente identificativa del perfil genético obtenido a partir de los sectores no codificantes del ADN. En ningún momento de la demanda se explicita información alguna que haya sido revelada a través del análisis identificativo practicado que haya comprometido o pudiera comprometer la intimidad del demandante. Se pone así en evidencia que la lesión contra la que se pretende reaccionar derivaría de la conservación y utilización futura de perfiles del ADN obtenido a partir de la muestra tomada, pero no de la comparación neutral y exclusivamente identificativa del perfil de ADN del demandante con el extraído de los vestigios del delito investigado. De este modo, aun cuando cabe admitir que el peligro de futuros usos desviados del perfil de ADN del demandante podría eventualmente constituir una injerencia en la intimidad personal por el mero riesgo, huelga ahora realizar toda consideración al respecto en el seno de un proceso de amparo como éste en la medida en que no es el supuesto concretamente analizado. Tal es también el presupuesto del que parte la reciente Sentencia del Tribunal Supremo de los Estados Unidos en el caso Maryland v. King, de 3 de junio de 2013 (identificación del autor de un delito de violación a partir del análisis del ADN de quien fue detenido como sospechoso de otro delito grave posterior) al afirmar taxativamente que los marcadores utilizados para la identificación del ADN “están situados en partes no codificantes del ADN que no revelan las características genéticas del detenido. Si bien la ciencia siempre puede avanzar y esos progresos pueden llegar a tener trascendencia desde la perspectiva de la cuarta enmienda, los alelos en los marcadores CODIS no suministran actualmente otra información que la relativa a la identidad del sujeto.” En definitiva, la limitada incidencia que el análisis de ADN que se pretendía realizar y efectivamente se llevó a cabo tuvo en el derecho a la intimidad del demandante tolera en el caso concretamente analizado la omisión de la autorización judicial en un ámbito en el que, como hemos ya advertido, no constituye una exigencia constitucional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la actuación pericial, al ceñirse a las regiones de ADN no codificante, se ajustó a los estándares proporcionados por la normativa nacional e internacional reguladora del uso forense del ADN, con lo que se asegura que no se va más allá de la identificación neutral del sujeto. Tal normativa estaba constituida a la sazón por la Resolución del Consejo, de 25 de junio de 2001, relativa al intercambio de resultados de análisis de ADN (2001/C 187/01) —actualizada luego por la Resolución del Consejo de 30 de noviembre de 2009—, por la cual se insta a los Estados miembros a que limiten los resultados de análisis de ADN a las zonas cromosómicas que no contengan ningún factor de expresión de información genética, es decir, a las zonas cromosómicas que no contengan información sobre características hereditarias específicas. En el correspondiente anexo se especifican y enumeran los marcadores de ADN respecto de los que no se tiene constancia de que contengan información sobre características hereditarias específicas, recomendando a los Estados miembros que estén vigilantes a los avances científicos y preparados para borrar los resultados de análisis de ADN si dichos resultados contienen información sobre características hereditarias específicas. En el ámbito internacional, el Tratado entre el Reino de Bélgica, la República Federal de Alemania, el Reino de España, la República Francesa, el Gran Ducado de Luxemburgo, el Reino de los Países Bajos y la República de Austria relativo a la profundización de la cooperación transfronteriza, en particular en materia de lucha contra el terrorismo, la delincuencia transfronteriza y la migración ilegal, hecho en Prüm el 27 de mayo de 2005 (“BOE” núm. 307, de 25 de diciembre de 2006), obliga a los Estados parte a servirse “exclusivamente de perfiles de ADN obtenidos a partir de la parte no codificante del ADN”.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porque, aun cuando el análisis jurídico de las cuestiones suscitadas exige un estudio individualizado de las distintas fases de la actuación policial controvertida, no puede desconocerse que las circunstancias concretas del caso, consideradas en su globalidad, requerían una actuación urgente. Así, la eventual eficacia probatoria de los restos biológicos contenidos en el cigarrillo requería su rápida recogida, su urgente remisión a los laboratorios adecuados para su conservación y su pronto análisis, evitando todo riesgo de degradación de la muestra, contribuyendo a asegurar la cadena de custodia y minorando las posibilidades de contaminación de la muestra mediante el tratamiento de la misma siguiendo los protocolos ordinarios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porque el conjunto normativo entonces vigente, a diferencia de lo que ocurre con otros derechos fundamentales respecto de los que la Constitución y la Ley de enjuiciamiento criminal sí exigen resolución judicial que autorice las injerencias en los mismos (arts. 18.2 y 3, y 20.5 CE), no prevé expresamente la intervención judicial con carácter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porque la merma del control judicial que podría haberse derivado de la falta de autorización judicial se vio desvanecida por la aportación al proceso del resultado del análisis comparativo realizado tan pronto como estuvo disponible, momento a partir del cual la autoridad judicial se encontraba en disposición de realizar por sí el juicio de ponderación sobre la diligencia pericial efectuada, así como de acordar la práctica de un nuevo análisis o de completar el ya realizado, bien por propia iniciativa o bien a solicitud de la representación procesal del demandante de amparo. A diferencia de lo que acontece con pruebas irrepetibles, como las intervenciones telefónicas, el carácter pericial de la diligencia practicada y la disponibilidad de las muestras a analizar hacen que la pericia pueda no sólo ser sometida a debate en cuanto a sus conclusiones, sino que incluso pudiera ser reiterada con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respeto al principio de proporcionalidad de la medida enjuiciada exige, tal como ya hemos avanzado, constatar que la medida adoptada sea susceptible de conseguir el objetivo propuesto (juicio de idoneidad); necesaria, en el sentido de que no exista otra medida más moderada para la consecución de tal propósito con igual eficacia (juicio de necesidad); y, finalmente, que sea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conduce a afirmar el respeto al principio de proporcionalidad en la realización del análisis de ADN del demandante de amparo toda vez que: i) su comparación con el obtenido a partir del resto biológico hallado resultaba un medio adecuado para revelar la identidad de este último (idoneidad); ii) no existía un medio alternativo para comprobar si el demandante había participado o no en los hechos delictivos enjuiciados (necesidad); y, finalmente, iii) el modo en el que el análisis del ADN se practicó fue el menos invasivo de la intimidad personal en cuanto sólo afectó a las regiones no codificantes del ADN, esto es, a aquellas que tan sólo proporcionan datos identificativos mediante un análisis comparativo con el ADN obtenido a partir de otra muestra, excluyéndose por ello la revelación o puesta de manifiesto de toda característica personal que afectase a la intimidad personal. Es decir, la injerencia en el derecho fundamental consistió en el riesgo de comprometer la intimidad personal del demandante de amparo, riesgo que no llegó a materializarse (STC 199/2013, de 5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estrecha relación con la queja que acabamos de examinar, se alega por el demandante la infracción del derecho de “autodeterminación informativa” previsto en el art. 18.4 CE, a causa de que la Ertzaintza habría procedido a incluir en una base de datos informatizada el resultado del análisis de las muestras genéticas, sin ningún tipo de control administrativo ni de otro orden, y sin que se conozca quiénes tienen acceso a tales datos ni quiénes son sus responsables, así como tampoco si esos datos personales van a ser utilizados para otros fines, durante cuánto tiempo se conservarán y si podrán ser utilizados en futuros procedimientos penales. A su juicio, la policía autonómica actuó al margen de la normativa vigente, por lo que estaríamos ante un ataque a la intimidad, al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ya repetida STC 199/2013, de 5 de diciembre, FJ 12, tras recordar la doctrina contenida en la STC 292/2000, de 30 de noviembre, en relación con el derecho a la protección de datos, hemos afirmado que no cabe duda acerca de que el perfil de ADN obtenido a partir de una muestra biológica identifica a la persona, pero que no puede decirse que en el indicado perfil genético (el obtenido con efecto identificativo neutral) se incorporen otro tipo de datos que puedan contribuir a configurar un perfil o caracterización de la persona en sus aspectos “ideológico, racial, sexual, económico o de cualquier otra índole, o que sirvan para cualquier otra utilidad que en determinadas circunstancias constituya una amenaza para el individuo” (STC 292/2000, de 30 de noviembre, FJ 6), que es el ámbito de protección dispensada por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resaltarse que la identificación del demandante de amparo no se produjo como consecuencia de la incorporación de su perfil genético identificativo a una base de datos de personas sospechosas, sino que derivó de su comparación con los perfiles de ADN correspondientes a personas desconocidas que habían sido obtenidos a partir de muestras biológicas halladas en vestigios de otros hechos delictivos. De modo que de haberse producido la incorporación de sus datos se trataría de una actuación sin incidencia en el acto del poder público frente al que se demanda en amparo. Por lo demás nada impediría al demandante reaccionar contra esta pretendida e hipotética conservación de su perfil de ADN solicitando la eliminación del perfil de la base de datos a la que afirma que se incorporaron, lo que no consta haberse efectuado, de suerte que la lesión denunciada no sólo se construye sobre hechos no acreditados cumplidamente sino que tampoco se habrían agotado los remedios disponibles para lograr su reparación, primero ante la Administración y luego, en su caso, ante la jurisdicción ordinaria, en términos semejantes a los acontecidos en caso resuelto en la STEDH de 4 de diciembre de 2008, caso S. y Marper c. el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ya hemos señalado que la obtención de los caracteres identificativos del demandante a partir del análisis de los sectores no codificantes de su ADN se produjo para una finalidad constitucionalmente legítima, como es la investigación de graves delitos relacionados con actividad de violencia callejera. Pues bien,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(STC 292/2000, de 30 de noviembre, FJ 11, con remisión a las SSTC 11/1981, de 8 de abril, FJ 7; 196/1987, de 11 de diciembre, FJ 6; y respecto del art. 18, a la STC 110/1984, de 26 de noviembre, FJ 5). Pero es que tampoco consta que el perfil haya sido utilizado para una finalidad distinta de aquella para la que se obtuvo, ni que haya sido objeto de cesión o tratamiento distinto de aquél para el que se obtuvo.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por las razones ya expuestas, la queja referida a la infracción del derecho a la presunción de inocencia (art. 24.2 CE) que la demanda sustenta en que los órganos judiciales hubiesen apreciado como prueba de cargo el análisis de ADN realizado sin autorización judicial, debemos descartar también que el mencionado derecho a la presunción de inocencia haya resultado infringido por falta de intervención judicial en el momento de la toma de los restos biológicos contenidos en el cigarrillo (por las razones expuestas en relación con la innecesariedad de la autorización judicial para la realización del análisis) o por falta de preservación de la denominada cadena de custodia de la muestra biológica obtenida, esto es, el aseguramiento de que la muestra recogida fue la misma que sirvió para el análisis comparativo posteriormente efectuado con el perfil de ADN obtenido a partir de la prenda recogida en el lugar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a como hemos apreciado en la STC 199/2013, de 5 de diciembre, FJ 4 c), debemos ahora consignar que la cuestión fue abordada en la Sentencia de la Audiencia Nacional que condenó al recurrente, alcanzando la conclusión de que no existía duda acerca de la identidad de las muestras analizadas, en consideración al contenido de las declaraciones efectuadas en el juicio oral por los policías que las recogieron, quienes dieron explicaciones sobre los protocolos y métodos de obtención, de las clases de análisis que se efectuaron, de su conservación, y de cómo adoptaron las medidas oportunas para evitar la contaminación de los objetos que contenían las muestras biológicas, ratificándose en las actuaciones que constaban en autos y sometiéndose tanto a las preguntas de la acusación como de la defensa. Se trata, por tanto, de una cuestión de hecho que no puede ser objeto de pronunciamiento por parte de este Tribunal [art. 44.1 b) de la Ley Orgánica del Tribunal Constitucional] más que respecto a la regularidad y suficiencia de los medios de prueba que condujeron a dar por acreditado el hecho. En todo caso, el dato al que se refiere la prueba no es estrictamente el hecho delictivo, sino un aspecto parcial de uno de los medios de prueba, siendo doctrina asentada del Tribunal (STC 126/2011, de 18 de julio, FJ 22, entre otras)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también en relación con el derecho a la presunción de inocencia (art. 24.2 CE), aduce el demandante que, con independencia de su queja sobre la ilicitud de la prueba de ADN, no existe prueba de cargo suficiente para la condena, pues, a su juicio, concurren otros elementos probatorios, como las declaraciones prestadas en el juicio oral por algunos testigos, que conducirían a una conclusión contraria a la alcanzada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debemos partir de que, como recuerda la STC 70/2010, de 18 de octubre,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De este modo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las dos vertientes en que se desdobla en la demanda el motivo de amparo basado en la vulneración del derecho a la presunción de inocencia (art. 24.2 CE), ya hemos rechazado, con lo afirmado en los fundamentos jurídicos precedentes, la primera de ellas, referida a la utilización de prueba ilícita. Tal como hemos expuesto, el análisis de muestras biológicas del demandante ha sido practicado respetando las exigencias constitucionales y sin lesión de los derechos a la intimidad (art. 18.1 CE) y a la autodeterminación informativa (art. 18.4 CE), por lo que su utilización como prueba no constituye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la segunda vertiente de la queja, referida a irrazonabilidad de la inferencia a partir de la cual los órganos judiciales concluyen la culpabilidad del recurrente, es preciso traer a colación, brevemente, la doctrina de este Tribunal según la cual, a falta de prueba directa de cargo, también la prueba indiciaria puede sustentar un pronunciamiento condenatorio sin menoscabo del derecho a la presunción de inocencia, siempre que: los hechos bases o indicios estén plenamente probados; los hechos constitutivos del delito se deduzcan precisamente de estos hechos bases completamente probados; se pueda controlar la razonabilidad de la inferencia, para lo que es preciso, en primer lugar, que el órgano judicial exteriorice los hechos que están acreditados, o indicios, y, sobre todo que explique el razonamiento o engarce lógico entre los hechos base y los hechos consecuencia; y, finalmente, que este razonamiento esté asentado en las reglas del criterio humano o de la experiencia común (SSTC 300/2005, de 21 de noviembre, FJ 3; 111/2008, de 22 de septiembre,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partiendo de “la radical falta de competencia de esta jurisdicción de amparo para la valoración de la actividad probatoria practicada en un proceso penal y para la evaluación de dicha valoración conforme a criterios de calidad o de oportunidad” (SSTC 137/2005, de 23 de mayo, FJ 2, y 111/2008, de 22 de septiembre, FJ 3), sólo cabe considerar vulnerado el derecho a la presunción de inocencia en este ámbito de enjuiciamiento cuando “la inferencia sea ilógica o tan abierta que en su seno quepa tal pluralidad de conclusiones alternativas que ninguna de ellas pueda darse por probada” (SSTC 229/2003, de 18 de diciembre, FJ 4; 111/2008, de 22 de septiembre, FJ 3; 109/2009, de 11 de mayo,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podemos anticipar ya la desestimación del presente motivo de amparo, que ofrece semejanza con el resuelto en la STC 135/2003, de 30 de junio, en la que apreciamos que la existencia de un indicio plenamente acreditado (la presencia de huellas dactilares en el lugar de la acción delictiva) unido a la futilidad del relato alternativo ofrecido por el recurrente, permitía inferir, conforme a las reglas de la lógica, su participación en los hechos, descartando que la conclusión del Tribunal sentenciador fuera excesivamente abierta o indeterminada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también en el presente caso, en el que para estimar acreditada la participación en los hechos del demandante, los órganos judiciales tomaron en consideración la aparición de su huella genética en el lugar de los hechos, debiéndose considerar que la prueba de ADN es prueba directa, y no mero indicio, de que se produjo contacto directo del recurrente con la prenda hallada en la escena delictiva, a partir de lo cual y ante la mera negativa del demandante acerca de su presencia en el lugar cuando ocurrió la acción delictiva, la inferencia de los órganos judiciales de la participación del recurrente en el atentado terrorista se presenta como una conclusión plenamente ajustada a las reglas de la lógica y de la experiencia. Precisamente, en relación con este último elemento hemos afirmado en ocasiones precedentes que si bien la inexistencia o la inconsistencia del relato alternativo no puede sustituir la ausencia de prueba de cargo, so pena de asumir el riesgo de invertir la carga de la prueba, sí puede servir como contraindicio o como elemento de corroboración de los indicios a partir de los cuales se infiere la culpabilidad (por todas, SSTC 142/2009, de 15 de junio, FJ 6; y 128/2011, de 18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don Egoitz Coto Etxeandía.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núm. 10619-2006 avocado al Pleno,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debo manifestar mi discrepancia con el fallo y con la fundamentación jurídica de la Sentencia dictada, pese a que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mi discrepancia me remito a los argumentos expuestos en el Voto particular que formulé a la STC 199/2013, de 5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catorce.Voto particular que formula el Magistrado don Andrés Ollero Tassara respecto a la Sentencia del Pleno de fecha 30 de enero de 2014 dictada en el recurso de amparo avocado núm. 10619-2006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 tanto respecto de la fundamentación jurídica como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los hechos enjuiciados en la Sentencia recurrida en amparo merecen el más drástico reproche y generaron sin duda notable alarma social, con las obligadas consecuencias en el plano de la legalidad penal, lamento constatar que desde el plano constitucional se aprecian circunstancias similares a las que me llevaron a formular Voto particular en relación a la reciente Sentencia 199/2013, de 5 diciembre, lo que me obliga a aplicar en el presente caso argumentación idéntica a la entonces expuesta, a la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