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por la pérdida de objeto del amparo interpuesto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día 7 de enero de 2011, don Javier Cuevas Rivas, Procurador de los Tribunales y de doña Inmaculada Pacho Martín, interpuso recurso de amparo contra Auto de 12 de noviembre de 2010, de la Sección Segunda de la Sala de lo Penal de la Audiencia Nacional, que desestima el recurso de súplica planteado frente al Auto de 28 de septiembre de 2010, por el que se aprobó el licenciamiento de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Acordada la admisión a trámite por la Sala Primera de este Tribunal mediante providencia de 26 de marzo de 2012, mediante diligencia de ordenación de 23 de octubre de 2013, se solicitó a la Audiencia Nacional que comunicara a este Tribunal cualquier resolución o incidencia procedimental que, a resulta de la STEDH de 21 de octubre de 2013, pudieran afectar a la situación del recurrente de amparo. Remitido por la Audiencia Nacional el Auto de 26 de noviembre de 2013 por el que se acordó la puesta en libertad de la recurrente, la Sala, por providencia de 16 de diciembre de 2013, acordó conceder un plazo de cinco días a las partes personadas para que, en virtud del art. 84 de la Ley Orgánica del Tribunal Constitucional, alegaran lo que estimaran conveniente sobre la perdida de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presentó alegaciones mediante escrito registrado el 13 de enero de 2014, en el que consideró que existía pérdida sobrevenida de objeto del recurso de amparo al haberse producido, tras la admisión de la demanda, la reparación por la Audiencia Nacional de la lesión del derecho a la libertad del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 Estado, por escrito de 19 de diciembre de 2013 consideró que procede declarar la pérdida sobrevenida de objeto en el presente recurso. El Ministerio Fiscal mediante escrito de 16 de enero de 2014, tampoco se opuso a tal declaración.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nuestra reiterada doctrina (por todos, ATC 6/2013, de 14 de enero, que a su vez cita los AATC 43/1985, de 23 de enero, 243/2007, de 21 de mayo, 285/2008, de 22 de septiembre, y 287/2008, de 22 de septiembre), la desaparición sobrevenida del objeto es una de las formas de terminación del proceso constitucional iniciado por el recurso de amparo, cuando las circunstancias sobrevenidas con posterioridad a la presentación de la demanda hacen innecesario un pronunciamiento del Tribunal Constitucional al haberse modificado de manera sustancial la controversia.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“como hemos declarado reiteradamente —así, STC 118/2007, de 21 de mayo, FJ 2— la desaparición sobrevenida del objeto del proceso, aun cuando no contemplada expresamente en el art. 86.1 LOTC, ha sido admitida por este Tribunal como forma de terminación de los distintos procesos constitucionales. En particular y en lo que ahora importa, es lo que sucede en los casos en los que, en el procedimiento que dio origen al recurso de amparo, los propios órganos judiciales han reparado las lesiones del derecho invocado en sede constitucional, (SSTC 305/2000, de 11 de diciembre, FJ 9; 13/2005, de 31 de enero, FJ 2; y ATC 30/2004, de 9 de febrero, FJ 3). De modo que, en estos supuestos, la demanda de amparo deja de tener objeto, toda vez que la reparación de la lesión del derecho fundamental por los propios órganos judiciales, antes de que este Tribunal dicte su decisión, priva de sentido al pronunciamiento sobre una vulneración ya inexistente, salvo que, como también hemos afirmado, a pesar de haber desaparecido formalmente el acto lesivo, debieran tenerse en cuenta otros elementos de juicio que continuaran haciendo precisa nuestra respuesta (SSTC 84/2006, de 27 de mayo, FJ 2; y 128/2006, de 24 de abril, FJ 2)” (STC 133/2007, de 4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supuestos podemos recordar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ha desaparecido la causa origen del proceso de amparo (así, SSTC 40/1982, de 30 de junio, 32/1982, de 7 de junio, 151/1990, de 4 de octubre, 139/1992, de 13 de octubre, 57/1993, de 15 de febrero, 87/1996, de 21 de mayo, 257/2000, de 30 de octubre, y AATC 56/1983, de 16 de febrero, 287/1984, de 16 de mayo, 43/1985, de 23 de enero, 945/1985, de 19 de diciembre, y 258/1992, de 14 de septiembre), no cabe sino concluir, en principio, que éste carece desde ese momento de objeto sobre el que deba pronunciarse este Tribunal (por todos, ATC 156/2003, de 19 de mayo, FJ 5).” (ATC 286/2006, de 24 de julio, FJ 2). En todo caso conviene advertir que es preciso excluir todo automatismo en la respuesta, por lo que habrá que atender a las circunstancias particulares que concurren en cada caso (STC 305/2000, de 11 de diciembre,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examen de los autos se desprende que por Auto de la Sección Segunda de la Sala de lo Penal de la Audiencia Nacional de 26 de noviembre de 2013 se resolvió hacer extensiva la aplicación de la STEDH de 21 de octubre de 2013 por la similitud existente con las pretensiones del demandante de amparo. Y en consecuencia tomar como referencia el tope máximo de treinta años, para, a partir de él, hacer los descuentos que correspondan por redenciones, y acordar la libertad de la recurrente. En dicho Auto se acordó la inmediata puesta en libertad y se declararon extinguidas las responsabilidades penales.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reconocía que las redenciones debían ser abonadas del tope máximo de treinta años. Precisamente esa fue la pretensión que el demandante sostuvo en su recurso de amparo. Habiéndose reconocido como fecha de extinción de su condena el 11 de marzo de 2008 y procedido a la puesta en libertad del demandante, de conformidad con lo dispuesto en los arts. 80 y 86.1 de la Ley Orgánica del Tribunal Constitucional (LOTC), en relación con el art. 22 de la Ley de enjuiciamiento civil, procede declarar la perdida de objeto del presente recurso, en tanto que la continuación del proceso no satisface ningún interés, al haberse dejado sin efecto el acto lesivo reconociéndose como fecha de extinción de su condena —como pretendía el demandante a lo largo del procedimiento previo al amparo y mantiene en el presente recurso— el 11 de marzo de 2008, sin que conste que dicha resolución haya sido recurrida.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por la pérdida de objeto del amparo interpuesto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