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3650-2011, promovido por don Diego Ugarte López de Arkaute, representado por el Procurador de los Tribunales don Javier Cuevas Rivas, bajo la dirección del Letrado don Iker Urbina Fernández, contra el Auto de la Sala de lo Penal del Tribunal Supremo de 19 de mayo de 2011, por el que se acuerda no haber lugar a la admisión del recurso de casación núm. 11325-2010 interpuesto contra el Auto de la Sección Primera de la Sala de lo Penal de la Audiencia Nacional de 12 de noviembre de 2010, por el que se desestima el recurso de súplica interpuesto contra la providencia de 17 de septiembre de 2010, dictada en la ejecutoria núm. 1-2001, sobre cómputo de abono de la prisión provisional.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Diego Ugarte López de Arkaute, y bajo la dirección del Letrado don Iker Urbina Fernández, interpuso recurso de amparo contra las resoluciones que se citan en el encabezamiento, mediante escrito registrado el 24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detenido el 6 de julio de 2005. En el sumario núm. 26-2002 tramitado por el Juzgado Central de Instrucción núm. 5, se acordó por Auto de 7 de julio de 2005 su prisión provisional. Por Sentencia de la Sección Cuarta de la Sala de lo Penal de la Audiencia Nacional de 16 de enero de 2006, dictada en el rollo de sala núm. 21-2003, fue condenado a una pena de prisión de tres años, y dos penas de prisión de ocho años por sendos delitos de tenencia ilícita de armas, depósito de armas de guerra y depósito de explosivos. Por Auto de 8 de febrero de 2006 se declaró la firmeza de la condena y pasó a la condición de penado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sumario núm. 4-2000 tramitado por el Juzgado Central de Instrucción núm. 5, se acordó por Auto de 7 de julio de 2005 la prisión provisional del recurrente. Por Sentencia de la Sección Cuarta de la Sala de lo Penal de la Audiencia Nacional de 26 de diciembre de 2005, dictada en el rollo de sala núm. 33-2001, fue condenado a dos penas de veintinueve años de prisión y dos penas de doce años y seis meses de prisión por dos delitos de terrorismo con resultado de muerte y otros dos con resultado de lesiones, a una pena de dieciséis años de prisión por un delito de terrorismo con estragos y a una pena de un año y nueve meses de prisión por un delito de falsificación de documento oficial. Por Auto de 1 de agosto de 2006, se declaró la firmeza de la condena y pasó a la condición de penado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sumario núm. 1-2001 tramitado por el Juzgado Central de Instrucción núm. 6, se acordó por Auto de 7 de julio de 2005 la prisión provisional del recurrente. Por Sentencia de la Sección Primera de la Sala de lo Penal de la Audiencia Nacional de 11 de octubre de 2007, dictada en el rollo de Sala núm. 1-2001, fue condenado a las penas de diez años de prisión, ocho años de prisión, dos años y seis meses de prisión y dos años de prisión por sendos delitos de terrorismo con resultado de muerte, integración en asociación ilícita terrorista, robo y falsificación de documento oficial. Por Auto de 22 de enero de 2008, se declaró la firmeza de la condena y pasó a la condición de penado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Primera de la Sala de lo Penal de la Audiencia Nacional, por Auto de 3 de junio de 2008, acordó en la ejecutoria núm. 1-2001 la acumulación de las condenas impuestas al demandante en tres causas previas, fijando en treinta años de prisión el límite máximo de cumplimiento de las penas privativas de libertad impuestas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Primera de la Sala de lo Penal de la Audiencia Nacional, por providencia de 17 de marzo de 2009, acordó que, para el cumplimiento del límite máximo de pena privativa de libertad de treinta años (10.950 días), le eran abonables 937 días. El recurrente, mediante escritos de 30 de junio y 30 de julio de 2010, tras invocar la jurisprudencia de este Tribunal (SSTC 19/1999, 71/2000 y 57/2008), solicitó la modificación de su liquidación de condena en el sentido de que se le abonara adicionalmente el lapso de tiempo en el que simultaneó la condición de penado en la primera causa con la de preso preventivo en las otras dos causas, esto es, desde el 8 de febrero de 2006 al 22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petición fue desestimada por providencia de 17 de septiembre de 2010, señalando que “se trata de una limitación penológica a 30 años de condenas que suman más de 140 años de prisión, por lo que no varía la fecha de licenciamiento”. Interpuesto recurso de súplica, fue desestimado por Auto de 12 de noviembre de 2010, argumentando que “el abono pedido carece de efectos y no modifica la liquidación de condena practicada y aprobada”, ya que “la limitación penológica de 30 años conforme a lo dispuesto en el artículo 76 CP, que fija el máximo de cumplimiento, pero no constituye una nueva pena, de modo que aun aplicándole el llamado doble cómputo seguirían siendo 30 años el tiempo de cumplimiento máximo de las penas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recurrente interpuso recurso de casación, tramitado con el núm. 11325-2010 por la Sala de lo Penal del Tribunal Supremo, acordándose por Auto de 19 de mayo de 2011 no haber lugar a su admisión por carencia manifiesta de fundamento. El argumento en que se fundamenta esta decisión es que “el recurrente ha sido condenado a un total de 142 años y 3 meses de prisión en tres ejecutorias distintas, estableciéndose por Auto de junio de 2008 la limitación penológica de 30 años según establece el art 76 del CP. La Sentencia núm. 197/06, de 28 de febrero, dictada por el Pleno de esta Sala, señala que el límite máximo de cumplimiento es sólo eso, un límite para el cumplimiento de las penas, no es una nueva pena a la que aplicar los beneficios penitenciarios. De igual forma, tampoco puede considerarse una pena nueva para aplicar el doble cómputo de la prisión preventiva que solicita el recurrente. En definitiva, lo que pretende el recurrente no es que se abone el tiempo de prisión preventiva que sufrió en estas causas, aun cuando entonces estuviera cumpliendo condena por otra distinta, que es lo que permite la sentencia ya reiterada del Tribunal Constitucional, sino que se le compute doblemente el tiempo transcurrido en prisión provisional, cuando éste ya se ha tenido en cuenta en otras causas. De acceder a la solicitud del recurrente, se aplicaría un único periodo de prisión preventiva a tres penas impuestas por los sucesivos delitos en diferentes causas” [razonamiento jurídico único,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se han vulnerado sus derechos a la libertad y seguridad (art. 17.1 CE) y a la tutela judicial efectiva (art. 24.1 CE), en cuanto garantiza la intangibilidad de las resoluciones firmes. Considera que las resoluciones recurridas entienden de manera equivocada que en el caso presente no se dan las circunstancias establecidas por el Tribunal Constitucional que justifican el doble cómputo en dos causas distintas de un mismo período de privación de libertad y que, por lo tanto, no existe período alguno a computar para el cumplimiento de sus causas acumuladas, aun cuando resulte evidente que durante la tramitación de las causas acumuladas existieron períodos de tiempo en los que ha permanecido simultáneamente en condición de preventivo y penado. En su opinión, la dicción del art. 58 del Código penal (CP), completada con la interpretación que de dicho precepto ha hecho el Tribunal Constitucional en sus SSTC 19/1999, 71/2000 y 57/2008, obliga al Tribunal encargado de la ejecución a abonar el tiempo de prisión provisional para el cumplimiento de la pena impuesta en la causa en que se decretó, aunque haya coincidido temporalmente con el cumplimiento de otras penas en causas distintas y aunque dicho periodo coincidente lo haya sido sobre causas que después se cumplen de forma acumulada. Por ello, reitera, debe reconocérsele adicionalmente el derecho a que le sea abonado para el cumplimiento de sus condenas acumuladas el tiempo de prisión provisional transcurrido desde el 8 de febrero de 2006 y el 22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28 de marzo de 2012,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10 de septiembre de 2012, acordó tener por recibido el testimonio de las actuaciones y dar vista de las actuaciones al Ministerio Fiscal y a las partes personadas por un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6 de noviembre de 2012, interesa que se otorgue el amparo al recurrente por la vulneración de su derecho a la libertad (art. 17.1 CE) y que se anulen las resoluciones impugnadas retrotrayendo las actuaciones para que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la cuestión planteada se refiere al cómputo del abono de prisión provisional cuando hay una coincidencia de periodos de prisión preventiva y cumplimiento de pena y que, por tanto, resulta de aplicación la doctrina fijada en las SSTC 19/1999, 71/2000 y 57/2008, conforme a la cual carece de cobertura legal en la redacción entonces aplicable del art. 58.1 CP la exclusión para el abono de la prisión provisional del período de tiempo en el que se simultaneen la situación de prisión provisional en una causa con la situación de penado en otra causa. A esos efectos, expone que, habiendo quedado acreditado en las actuaciones que se ha excluido del cómputo del tiempo de abono el periodo en que el recurrente permaneció privado de libertad en la doble condición de penado y preventivo, concluye que dicho periodo también tiene que ser doblemente computado ya que, de lo contrario el período de tiempo de prisión provisional coincidente con la situación de penado carecería de toda incidencia y relevancia en el cumplimiento de las penas, lo que vulnera el art. 17 CE. Igualmente, señala que “el cómputo de la prisión provisional no puede realizarse de manera que enerve la aplicación del doble cómputo para los períodos coincidentes de prisión y cumplimiento de pena, eliminando uno de ellos que, pese a ser autónomamente computable, desaparecería así de la liquidación de condena, como efectivamente ha ocurrido. A nuestro entender, esta operación, que respetaría el criterio del Tribunal Constitucional, constituiría un presupuesto previo para la aplicación de los criterios de cumplimiento de condena y aplicación de los arts. 75 y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por providencia de 22 de octubre de 2013, de conformidad con lo dispuesto en el art. 10.1 n) LOTC, a propuesta de la Sala Segunda,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abril de 2014 se acordó señalar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no computar un determinado periodo de tiempo en que se había simultaneado la condición de preso preventivo y de penado para el abono de la prisión provisional realizada en una ejecutoria en que se había acordado la acumulación de las condenas impuestas al demandante en tres causas previas,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FFJJ 3 a 5, tras exponer la doctrina desde la inicial STC 57/2008, de 28 de abril, y las sucesivas SSTC 92/2012, de 7 de mayo; 158/2012, de 17 de septiembre; 193/2012, de 29 de octubre; 229/2012, de 10 de diciembre;148/2013,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el 8 de febrero de 2006 al 22 de enero de 2008,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decisiones adoptadas no han producido la alegada lesión del derecho a la libertad del demandante (art. 17.1 CE), al no contravenir lo dispuesto en el 58.1 CP, ni quebrantar tampoco el fundamento y los fines que justifican la acumulación jurídica (art. 76 CP),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don Diego Ugarte López de Arkaute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doña Adela Asua Batarrita, don Luis Ignacio Ortega Álvarez, don Fernando Valdés Dal-Ré y don Juan Antonio Xiol Ríos a la Sentencia dictada en el recurso de amparo avocado núm. 3650-2011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con la fundamentación jurídica de la Sentencia y con su fallo por las mismas razones expuestas en el Voto particular que formulamos en la STC 35/2014, de 27 de febrero, a cuyo contenido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abril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