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2201-2008, promovido por don Guillermo Malcolm Mahoney Morton, representado por la Procuradora de los Tribunales doña Carmen Palomares Quesada y asistido por el Letrado don Jorge Domínguez Roldán, contra la Sentencia de la Sección Cuarta de la Sala de lo Social del Tribunal Superior de Justicia de Madrid de 25 de enero de 2008, que confirmó la del Juzgado de lo Social núm. 22 de Madrid, de 10 de mayo de 2007, dictada en materia de Seguridad Social contra la resolución del Instituto Nacional de la Seguridad Social de 6 de abril de 2006 en expediente de viudedad. Han comparecido y formulado alegaciones el Letrado de la Administración de la Seguridad Social, actuando en nombre y representación del Instituto Nacional de la Seguridad Social, y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marzo de 2008, doña Carmen Palomares Quesada, Procuradora de los Tribunales, en nombre y representación de don Guillermo Malcolm Mahoney Morton, interpuso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mantuvo una relación de pareja estable análoga al matrimonio con el Sr. Reverte durante más de veinte años y hasta el fallecimiento de este último en el año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Presentó solicitud de pensión de viudedad, que le fue denegada por resolución del Instituto Nacional de la Seguridad Social, de 6 de abril de 2006, por no ser o haber sido cónyuge del fallecido. Formulada reclamación previa, fue desestimada por resolución de 28 de junio de 2006, con base en idéntico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11 de agosto de 2006 articuló demanda en materia de Seguridad Social en reclamación de la referida pensión de viudedad. Fue desestimada por Sentencia del Juzgado de lo Social núm. 22 de Madrid, de 10 de mayo de 2007, que consideró que el derecho a la pensión sólo existe cuando está legalmente establecido y que no es sino a partir de la Ley 13/2005, de 1 de julio, cuando se reconoce el matrimonio entre personas del mismo sexo, siendo la promulgación de dicha norma la que despliega los efectos que, respecto de otros derechos, puedan derivarse a favor de quienes quieran, conforme a ella, contraer matrimonio. Añadía que ni de la disposición adicional primera de la Ley 13/2005, de 1 de julio, ni de la disposición adicional décima.2 de la Ley 30/1981, de 7 de julio, se derivaba el derecho pretendido por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decisión judicial, el recurrente en amparo formuló recurso de suplicación, que fue desestimado por Sentencia del Tribunal Superior de Justicia de Madrid, Sección Cuarta de la Sala de lo Social, de 25 de enero de 2008, que reiteró en esencia los razonamientos de la Sentencia de instancia en cuanto a la Ley 13/2005,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afirma que se ha producido la vulneración del art. 14 CE. Aduce que la denegación de la pensión de viudedad, amparándose la misma en la inexistencia del vínculo matrimonial, cuando tal extremo es fruto de un impedimento legal ajeno a la voluntad de los integrantes de la pareja, determina, realmente, que la convivencia estable mantenida por personas del mismo sexo no recibe el mismo tratamiento que ante la misma situación (concurrencia de un impedimento legal que impedía el acceso al matrimonio) ha venido recibiendo la convivencia acreditada mantenida por personas de distinto sexo. En efecto, ese elemento, que fue expresamente considerado en la Ley 30/1981, de 7 de julio, es sin embargo rechazado en estos autos porque la citada equiparación entre vínculo matrimonial y convivencia estable —cuando no se ha podido acceder al anterior—, y a diferencia de lo que ocurría en aquella Ley de 1981, no aparece contemplada ni regulada en la Ley 13/2005, de 1 de julio. Esto así, el desequilibrio donde se asienta la lesión del principio de igualdad surge, dice el recurso, del distinto tratamiento que se otorga a un miembro de una pareja de hecho homosexual frente a un miembro de una pareja de hecho integrada por personas de distinto sexo, cuando ambos no pueden acreditar, por impedimento legal, y por tanto, ajeno a su voluntad, el cumplimiento del requisito del vínculo matrimonial y cuando, además, tal imposibilidad deriva, de forma coincidente, de la falta de desarrollo normativo que posibilitara el acceso al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regulación del matrimonio y la consiguiente modificación del Código civil contenida en la Ley 13/2005, de 1 de julio, es, sin duda, la consecuencia de un proceso normativo y de la sucesión de diferentes normas reguladoras del mismo, pero constituye, igualmente, una verdadera equiparación no sólo a futuro, sino además, ante la indudable voluntad del legislador de equiparar la institución matrimonial para todas las personas con independencia de su sexo, una incorporación normativa a la estructura legal que vinculada con el matrimonio existiera anteriormente, con independencia de que las citadas normas en su origen solo afectaran a las personas que en aquel entonces podían acceder al matrimonio. Por tanto, concluye, una vez publicada la Ley 13/2005, de 1 de julio, no puede mantenerse que el impedimento legal para acceder al vínculo matrimonial pueda ser considerado como un hecho distinto que permita un tratamiento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2010 la Sala Segunda de este Tribunal acordó la admisión a trámite de la demanda de amparo, solicitando la certificación o fotocopia adverada de las actuaciones a los órganos judiciales que intervinieron en el proceso judicial,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Administración de la Seguridad Social, en nombre y representación del Instituto Nacional de la Seguridad Social, se personó en este proceso constitucional mediante escrito de 14 de junio de 2010, dictándose diligencia de ordenación de 12 de julio de 2010 que lo tiene por personado en la representación que ostenta, dando asimismo vista de las actuaciones recibidas a las partes personadas y al Ministerio Fiscal para que pudieran presentar las alegaciones que estimasen pertinentes, conforme determina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14 de septiembre de 2010, el recurrente evacuó el trámite ratificando las alegaciones realizadas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por escrito de 15 de septiembre de 2010. Sostiene, refiriéndose a la disposición adicional décima de la Ley 30/1981, de 7 de julio, y a la situación regulada en la adicional primera de la Ley 13/2005, de 1 de julio, que “si el legislador ha reconocido con carácter retroactivo el derecho a una prestación de Seguridad Social en base a la existencia de una causa impeditiva del matrimonio (el ligamen o vínculo previo), el supuesto que el ahora recurrente ofrece resulta ser exactamente el mismo, ya que se trata también de una anterior causa impeditiva para contraer matrimonio, que ahora ha desaparecido”, razón por la cual procedería el otorgamiento del amparo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formuló alegaciones mediante escrito de 16 de septiembre de 2010, planteando como cuestión previa la inadmisión del recurso de amparo por falta de agotamiento de los recursos procedentes contra la resolución judicial recurrida, conforme a lo previsto en el art. 50.1 a) LOTC, en relación con el art. 44.1 a) de la misma Ley, por cuanto debería haberse planteado recurso de casación para la unificación de doctrina. En cuanto al fondo, tras la cita y reproducción parcial del ATC 222/1994, de 11 de julio, dictado en el recurso de amparo núm. 1101-1993, razona que no existe infracción del art. 14 CE, y que el derecho pretendido no nace de las normas invocadas: disposición adicional décima de la Ley 30/1981, de 7 de julio, que no resulta aplicable al caso ni directamente ni por analogía, y Ley 13/2005, de 1 de julio, que no contempla disposición alguna que indique la existencia de efectos retroactivos que pudieran amparar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julio de 2014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resoluciones impugnadas la vulneración de sus derechos fundamentales a la igualdad y a la no discriminación (art. 14 CE). Afirma que la denegación de la pensión de viudedad, amparada en la inexistencia del vínculo matrimonial, cuando tal extremo es fruto de un impedimento legal ajeno a la voluntad de los integrantes de la pareja, determina, realmente, que la convivencia estable mantenida por personas del mismo sexo no recibe el mismo tratamiento que ante la misma situación (concurrencia de un impedimento legal que impedía el acceso al matrimonio) ha venido recibiendo la convivencia acreditada mantenida por personas de distinto sexo. Ese elemento, que fue expresamente considerado en la Ley 30/81, de 7 de julio, es sin embargo rechazado en estos autos porque la citada equiparación entre vínculo matrimonial y convivencia estable —cuando no se ha podido acceder al anterior— no aparece contemplada ni regulada en la Ley 13/2005, de 1 de julio, produciendo esa interpretación la lesión denunciada, al otorgarse un distinto tratamiento a un miembro de una pareja de hecho homosexual frente a un miembro de una pareja de hecho integrada por personas de distinto sexo. A su criterio, una vez publicada la Ley 13/2005, de 1 de julio, no puede mantenerse que el impedimento legal para acceder al vínculo matrimonial pueda ser considerado como un hecho diferenciador.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Nacional de la Seguridad Social, por su parte, interesa la desestimación del recurso, objetando con carácter previo y en términos de inadmisibilidad la falta de agotamiento de la vía judicial previa [art. 50.1 a) en relación con el art. 44.1 a) de la Ley Orgánica del Tribunal Constitucional: LOTC]. El Ministerio Fiscal solicita el otorgamiento del amparo de acuerdo con las razones que han sido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del fondo de lo planteado, es preciso analizar el óbice procesal de la falta de agotamiento de la vía judicial previa que denuncia el Letrado del Instituto Nacional de la Seguridad Social, por no haberse formalizado recurso de casación para la unificación de doctrina contra la Sentencia dictada en suplicación y ahora impugnada [arts. 50.1 a) y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exigibilidad de la interposición del recurso de casación para la unificación de doctrina, como requisito para el agotamiento de la vía judicial previa, ha sido examinada por la doctrina de este Tribunal, que ha subrayado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(por ejemplo, STC 29/2013, de 11 de febrero, FJ 3). Es igualmente cierto, conforme a esa misma doctrina, que corresponde a quien pretende hacer valer su no interposición como motivo de inadmisibilidad acreditar la posibilidad de recurrir a esta extraordinaria vía en el supuesto concreto (por todas, STC 221/2012, de 26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Letrado de la Administración de la Seguridad Social invoca dicho óbice procesal, pero no cumple con la carga señalada anteriormente, pues no es bastante para satisfacerla la mera cita de Sentencias potencialmente habilitantes de su articulación, que en esta ocasión se efectúa sin realizar, sin embargo, ni siquiera un examen aproximativo a las identidades y contradicción que el Tribunal Supremo reclama invariablemente para acceder a ese recurso extraordinario. La objeción, en consecuencia,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respuesta a las quejas planteadas en la demanda de amparo, debemos remitirnos a lo dicho por este Tribunal en la reciente Sentencia 92/2014, de 10 de junio, que resolvió la cuestión interna de inconstitucionalidad núm. 693-2013, a la que se ha hecho referencia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ante las dudas de constitucionalidad sobre el art. 174 LGSS en relación a la prohibición de discriminación contenida en el art. 14 CE, se planteó, en virtud del art. 55.2 LOTC, una cuestión de inconstitucionalidad que ha sido resuelta en la citada STC 92/2014, de 10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174 de la Ley general de la Seguridad Social (LGSS), en la redacción dada por el art. 32.1 de la Ley 50/1998, de 30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la STC 92/2014, FJ 5, que “la eventual contradicción, por parte del precepto sometido a nuestro enjuiciamiento, con el derecho a la no discriminación por razón de orientación sexual que proscribe el segundo inciso del artículo 14 CE, se circunscribe a un aspecto concreto, cual es que solamente los cónyuges podrían ser beneficiarios de la pensión de viudedad y, en consecuencia, a los miembros de parejas de hecho homosexuales les estaba vedado acceder a esa prestación, puesto que, con anterioridad a la entrada en vigor de la Ley 13/2005, aquéllos no podían contraer vínculo matrimonial”. En ese mismo fundamento recordamos que “la posibilidad de contraer o no matrimonio ha sido un aspecto de especial significación para la doctrina constitucional, a la hora de enjuiciar supuestos en que el ordenamiento jurídico brindaba a los cónyuges un tratamiento más favorable que el dispensado a las parejas de hecho, incluidos los casos relacionados con prestaciones de la Seguridad Social”, destacando que las diferencias entre una y otra situación podían “ser legítimamente tomadas en consideración por el legislador a la hora de regular las pensiones de supervivencia” (STC 184/1990, de 15 de noviembre, FJ 3), que la existencia de libertad para contraer matrimonio es un factor que permite justificar, adicionalmente, ese distinto tratamiento (por todas, STC 184/1990, de 15 de noviembre, y más recientemente AATC 188/2003, de 3 de junio, 47/2004, de 10 de febrero, 77/2004, de 9 de marzo, 177/2004, de 11 de mayo, o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implica, sin embargo, que “en cualquier situación en que los convivientes more uxorio se vean impedidos de contraer matrimonio, tal eventualidad deba engendrar una obligación, a cargo de los poderes públicos, de brindar a los miembros de parejas de hecho un tratamiento jurídico equiparado al previsto para los cónyuges pues, en caso de no existir tal libertad, es necesario valorar si la causa impeditiva del matrimonio pugna con los principios y reglas constitucionales, de manera que este Tribunal deberá comprobar si las causas que hipotéticamente lo impiden resultan constitucionalmente admisibles”, conclusión que se fundamenta en la doctrina de la STC 180/2001,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lo anterior, en el fundamento jurídico 6 de la STC 92/2014, ya citada, examinamos si la causa que en aquel supuesto limitaba la libertad de contraer el vínculo matrimonial era una causa que pugnaba con los principios y reglas constitucionales. Así, con cita del ATC 222/1994, de 11 de julio, señalamos que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 a la par que recalcamos el amplio margen de apreciación y configuración del legislador en cuanto al régimen de prestaciones económicas de la Seguridad Social y las situaciones que han de considerarse merecedoras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indicamos que “[d]entro de ese amplio margen de apreciación, el legislador en la LGSS de 1994 decidió perfilar una pensión de viudedad que si bien, como este Tribunal ha tenido ocasión de señalar, no responde a la existencia de una situación de necesidad, sino “a la compensación de un daño cual es la falta o minoración de unos ingresos de los que participaba el cónyuge supérstite y, en general, afrontar las repercusiones económicas causadas por la actualización de una contingencia (la muerte de uno de los cónyuges)” (STC 41/2013, de 14 de febrero, FJ 4), queda limitada a los supuestos en los que existe un vínculo matrimonial entre causante y beneficiario como forma singular de protección de la unión familiar que cumple con determinados requisitos legales, que son los del matrimonio. No estaba, pues, entonces concebida la pensión de viudedad como una institución llamada, sin más, a compensar el daño de la minoración de ingresos sufrida por el superviviente de una pareja, sino a compensar ese daño cuando se producía en el ámbito de la familia sustentada en el previo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uniones de hecho heterosexuales resultaban excluidas del acceso a la pensión porque, pudiendo acceder al matrimonio, decidían libremente no hacerlo y, por tanto, no cumplir con los requisitos legales, debiendo, por tanto, correr con las consecuencias de ello (STC 184/1990, FJ 1). Las uniones homosexuales quedaban fuera de la esfera de protección porque la configuración del matrimonio en aquel momento —lo que habría de cambiar después— era una configuración clásica o tradicional del mismo, que respondía a la idea de que uniones homosexuales y heterosexuales tenían una funcionalidad distinta dentro de la sociedad. Conviene recordar a estos efectos que, como tuvimos ocasión de señalar, la extensión de la pensión de viudedad a quienes convivían de forma estable extramatrimonialmente estaba lejos de ser la pauta en la legislación internacional y en el Derecho comparado en aquel momento (STC 184/1990, FJ 5). Es más, el Tribunal Europeo de Derechos Humanos tuvo ocasión de pronunciarse, en el caso Mata Estévez c. España, sobre la conformidad al derecho a la igualdad y a la no discriminación del sistema español que vinculaba el acceso a la pensión de viudedad a la previa existencia de vínculo matrimonial, afirmando, en su Sentencia de 10 de mayo de 2001, que tal regulación no era discriminatoria puesto que perseguía un fin legítimo —“a saber, la protección de la familia fundada en los vínculos del matrimonio”— y existía una relación razonable de proporcionalidad entre los medios empleados y el fin en cuestión. El Tribunal estimó, pues, que el trato diferenciado dispensado a las relaciones homosexuales entraba dentro del legítimo margen de apreciación del Estado. Idea que ha reiterado más recientemente, en su Sentencia de 24 de junio de 2010 (caso Schalk and Kopf c. Austria, § 108), en la cual, y ante la alegación de los demandantes de que si ofrece a las parejas de un mismo sexo un medio de reconocimiento alternativo al matrimonio, el Estado está obligado a otorgarles un estatus que se corresponda a todos los efectos con el propio de la institución matrimonial, el Tribunal afirma no compartir ese argumento, al entender que “los Estados disfrutan de un cierto margen de apreciación respecto de la situación concreta derivada de los medios alternativos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concluimos, en ese mismo fundamento jurídico 6, que “[h]a de ser, por tanto, el legislador —en modo alguno este Tribunal actuando de legislador positivo retrospectivo y comprometiendo desembolsos económicos del erario público— el que, en su caso, decida, al hilo de los cambios sociales, cuál es el momento en que procede extender la pensión de viudedad a otros supuestos y con qué alcance. Así lo ha hecho el legislador con posterioridad, tanto con la regulación del matrimonio homosexual en la Ley 13/2005, de 1 de julio, por la que se modifica el Código civil en materia de derecho a contraer matrimonio, lo que permite a los cónyuges supervivientes de matrimonios homosexuales solicitar la correspondiente pensión de viudedad, como con la Ley 40/2007, de 4 de diciembre, que extiende este beneficio, con ciertas limitaciones y requisitos, a todas las parejas de hecho estables, tanto heterosexuales como homosexuales, previendo, además, en su disposición adicional tercera, su aplicación a situaciones acaecidas con anterioridad a su entrada en vigor. Una decisión de política legislativa ciertamente legítima (STC 41/2013, FJ 3), como también lo era, no obstante, la anterior, que ninguna tacha ofrecía, por las razones ya expuestas,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precedente doctrina al caso concreto que ahora se nos plantea conduce directamente a considerar que no es posible apreciar la denunciada vulneración del art. 14 CE, en ninguno de sus planos (incisos primero y segundo del precepto), lo que ha de conducir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2201-2008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Tribunal, debo manifestar mi discrepancia con la Sentencia dictada.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desestimación del recurso de amparo se basa en la argumentación plasmada en la STC 92/2014, de 10 de junio, en la que el Pleno de este Tribunal ha desestimado la cuestión interna de inconstitucionalidad núm. 693-2013, me remito a los argumentos expuestos en el Voto particular formulado por don Luis Ignacio Ortega Álvarez a dicha Sentencia al que entonces me adherí,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respecto de la Sentencia dictada en el recurso de amparo núm. 2201-2008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con la Sentencia dictada.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desestimación del recurso de amparo se basa en la argumentación plasmada en la STC 92/2014, de 10 de junio, en la que el Pleno de este Tribunal ha desestimado la cuestión interna de inconstitucionalidad núm. 693-2013, me remito a los argumentos expuestos en el Voto particular formulado por don Luis Ignacio Ortega Álvarez a dicha Sentencia al que entonces me adherí,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