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273</w:t>
            </w:r>
            <w:r w:rsidRPr="00D13423">
              <w:rPr>
                <w:szCs w:val="24"/>
                <w:lang w:val="es-ES_tradnl"/>
              </w:rPr>
              <w:t>/</w:t>
            </w:r>
            <w:r>
              <w:rPr xmlns:w="http://schemas.openxmlformats.org/wordprocessingml/2006/main">
                <w:szCs w:val="24"/>
              </w:rPr>
              <w:t>2014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6 de noviembre de 2014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Adela Asua Batarrita, don Fernando Valdés Dal-Ré, don Pedro José González-Trevijano Sánchez y don Antonio Narváez Rodríguez.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3985-2012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3985-2012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Estimar justificada la abstención formulada por el Magistrado don Ricardo Enríquez Sancho en el recurso de amparo número 3985-2012, apartándole definitivamente del conocimiento del referido recurso y de todas sus incidencias.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Único. En el recurso de amparo antes referido se impugna el Auto de la Sala de lo Contencioso-Administrativo del Tribunal Supremo, de 29 de septiembre de 2011, por el que se inadmitió el recurso de casación núm. 1281-2011, promovido a su vez contra la Sentencia de 29 de abril de 2010, de la Sección Cuarta de la Sala de lo Contencioso-Administrativo del Tribunal Superior de Justicia de Andalucía, recaída en el recurso núm. 35-2007.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Mediante escrito fechado el 4 de noviembre de 2014, el Magistrado don Ricardo Enríquez Sancho comunicó a los efectos oportunos que se abstenía de intervenir en el antes indicado recurso de amparo, de conformidad con el art. 80 de la Ley Orgánica del Tribunal Constitucional, por haber formado parte de la Sección Primera de la Sala Tercera del Tribunal Supremo, que dictó el Auto de 29 de septiembre de 2011, resolución impugnada en el presente recurso de amparo número 3985-2012.</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P="00EF0A96" w:rsidRDefault="00AD51A7">
      <w:r>
        <w:rPr xmlns:w="http://schemas.openxmlformats.org/wordprocessingml/2006/main">
          <w:lang w:val="es-ES_tradnl"/>
        </w:rPr>
        <w:t>1. Único. Vista la comunicación efectuada por don Ricardo Enríquez Sancho, Magistrado de esta Sala Segunda del Tribunal Constitucional, la Sala, en virtud de lo previsto en el art. 219.11 de la Ley Orgánica del Poder Judicial, supletoria de la Ley Orgánica del Tribunal Constitucional (art. 80), estima justificada la causa de abstención formulada, puesto que el mencionado Magistrado formó parte de la Sección Primera de la Sala Tercera del Tribunal Supremo, que dictó el Auto de 29 de septiembre de 2011, en el recurso de casación número núm. 1281-2011, que ha sido impugnado en el presente recurso de amparo.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Estimar justificada la abstención formulada por el Magistrado don Ricardo Enríquez Sancho en el recurso de amparo número 3985-2012, apartándole definitivamente del conocimiento del referido recurso y de todas sus incidencias.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seis de noviembre de dos mil catorce.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