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18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5937-2011 interpuesto por la Generalitat de Catalunya contra los apartados 3 y 5 del art. 4; el apartado 1 del art. 6; el apartado 2 del art. 8 y los anexos III y IV del Real Decreto 804/2011, de 10 de junio, por el que se regula la ordenación zootécnica, sanitaria y de bienestar animal de las explotaciones equinas y se establece el plan sanitario equino. Ha comparecido y formulado alegaciones el Abogado del Estado. Ha sido Ponente la Magistrada Dña.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Constitucional el 2 de noviembre de 2011, la Abogada de la Generalitat de Catalunya, en la representación que legalmente ostenta, interpuso conflicto positivo de competencias contra los apartados 3 y 5 del art. 4; el apartado 1 del art. 6; el apartado 2 del art. 8 y los anexos III y IV del Real Decreto 804/2011, de 10 de junio, por el que se regula la ordenación zootécnica, sanitaria y de bienestar animal de las explotaciones equinas y se establece el plan sanitario equino, por considerar que el Estado ha excedido los títulos competenciales que le asisten, vulnerando así las competencias asumidas estatutariamente. Los fundamentos jurídicos en que se sustenta la demanda son los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impugnado pretende establecer unas bases comunes para la definición y ordenación del sector, normas de contenido heterogéneo que regulan aspectos diversos como son los zootécnicos, los higiénicos y los sanitarios y que incluye junto a prescripciones obligatorias normas técnicas de detalle o bien obvias y redundantes, o que adolecen de excesiva prolijidad. El Gobierno de la Generalitat no impugna la totalidad de la disposición, sino aquellos apartados de determinados preceptos en los que se incide de forma más penetrante en las competencias autonómicas que vacía de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sector equino ha sufrido una importante evolución en los últimos años. Casi abandonado su uso para transporte y trabajo, las actividades más relevantes son las de ocio y deportivas así como el rendimiento cárnico. Se trata de un sector económico que por sí solo tiene una muy escasa entidad, radicando su importancia en las actividades relacionadas con el ocio, turismo rural y servicios con él relacionadas, siendo apenas relevante la industria cárnica en el ámbito de los mercados alimentarios, en comparación con otras producciones cárnicas, cuyo peso en el conjunto de la ganadería es mayor. Su incidencia en la sanidad es, por tanto, ínfima y difícilmente podrá afectar a la salud humana. Por tanto, una regulación consistente en las condiciones de alojamiento de los caballos o el contenido de los libros de explotación tiene poco que ver con la competencia estatal en materia de sanidad o bases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títulos competenciales que invoca el Real Decreto impugnado en su disposición final segunda son la ordenación general de la economía y las bases y coordinación de la sanidad. De otra parte, los títulos autonómicos de aplicación son: (i) la competencia exclusiva en materia de ganadería [art. 116.1 d) del Estatuto de Autonomía de Cataluña (EAC)] que incluye la sanidad vegetal y animal, cuando no tengan efectos sobre la salud humana y la protección de los animales, en el respeto a lo que establezca el Estado en ejercicio de sus competencias de los apartados 13 y 16 del art. 149.1 CE; (ii) la competencia compartida de ordenación, planificación, la determinación, regulación y ejecución de actuaciones dirigidas a preservar y promover la salud pública que incluye la sanidad animal con efectos sobre la salud humana, la sanidad alimentaria y ambiental y la vigilancia epidemiológica [art. 162.3 b) EAC], y finalmente (iii) la competencia de planificación, ordenación y promoción de la actividad económica (art. 152 EAC). De acuerdo con la doctrina constitucional, el alcance material de cada uno de los títulos estatales concretos debe determinarse sobre la base de su contenido y las finalidades que persigue. El art. 149.1.13 CE habilita al Estado para regular e incluso adoptar las medidas necesarias para integrar la agricultura de la Comunidad Autónoma en la política general (STC 80/1985, de 4 de julio), competencia que comprende la aprobación de las directrices y criterios globales de ordenación de un sector concreto y las medidas singulares que sean necesarias para alcanzar los fines propuestos dentro de la ordenación de cada sector. Se trata, por tanto, de una materia de competencia compartida, debiendo primar la competencia autonómica, cuando no se advierta una directa y significativa incidencia sobre la actividad económica general (STC 112/1995, de 6 de julio y 128/1999, de 1 de julio). 	De otro lado, la conexión entre sanidad y sanidad animal ha sido establecida por la doctrina constitucional en la STC 192/1990, de 29 de noviembre FJ 2, sin perjuicio de lo cual debe tenerse en cuenta que el alcance de esta competencia básica no puede desplazar las competencias autonómicas de desarrollo normativo y ejecución de los controles.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expuesto, la demanda analiza de forma pormenorizada cada uno de los preceptos impugnados. El apartado 3 del art. 4 establece las condiciones generales de las construcciones e instalaciones. En algunos casos se trata de especificaciones innecesarias por obvias, en otros casos disposiciones de buenas prácticas en el ejercicio de la actividad que no tienen conexión alguna ni con la economía ni con la sanidad, correspondiendo de lleno a la materia ganadería. La extralimitación se puede deducir si se compara con el contenido de la Ley 8/2003, de 24 de abril, de sanidad animal, cuando regula las condiciones sanitarias básicas que deben cumplirse en las explotaciones animales (arts. 36.2 y 37), remitiéndose a la normativa sectorial.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 se refiere a las condiciones para garantizar el bienestar animal que se introduce con la salvaguarda de la Ley 32/2007, de 7 de noviembre, para el cuidado de los animales en su explotación, transporte y sacrificio. Las condiciones que se establecen adolecen de ser obviedades o redundancias y no tienen cabida en los títulos genéricos del art. 149.1.13 y 16 CE, contrastando con la regulación establecida en otro apartado del mismo precepto, que no se discute, relativo a las condiciones higiénico-sanitarias. El bienestar animal, que tiene por finalidad ahorrar dolor y sufrimiento en la explotación del ganado, tiene su regulación básica en otra ley distinta la cual al referirse a las explotaciones de animales encomienda a las Administraciones públicas que adopten las medidas necesarias para asegurar el bienestar.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6.1 regula el libro de explotación, que tendrá el formato que se apruebe por la autoridad competente y los datos mínimos que se indican en el anexo IV, mientas que la Ley 8/2003 se limita a exigir un libro de explotación, que contenga los datos exigidos por la normativa aplicable debiéndose mantener actualizado. Esta referencia de la Ley 8/2003 lo es a la normativa sectorial que corresponde a la Comunidad Autónoma en materia de sanidad animal [art. 116.1 d) EAC], teniendo en cuenta, además, que el empleo de este documento para el control informativo de determinados aspectos de la explotación ganadera es instrumental para el ejercicio de las competencias que corresponde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8.2 regula el programa de control, estableciendo que se realizará de acuerdo con lo dispuesto en las partes I y II del anexo III. Se trata de actuaciones sobre determinadas enfermedades equinas, concretando periodicidades en los controles, toma de muestras, etc. Son todas ellas operaciones que se enmarcan en las funciones de ejecución que corresponde a la Comunidad Autónoma, siendo así que el precepto impugnado no se limita a establecer reglas generales, sino que regula de forma acabada el modo y manera de realizar los controles, condicionando la competencia ejecutiva de la Comunidad Autónoma. Se trata, por otra parte, de actuaciones que se refieren a enfermedades que no tienen incidencia sobre la salud humana y que no requerirían de una regulación y coordinación de la intensidad de la aquí regulada.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noviembre de 2011, el Pleno del Tribunal Constitucional acordó admitir a trámite el conflicto positivo de competencias; dar traslado de la demanda para personación y alegaciones al Gobierno de la Nación; comunicar la incoación a la Sala de lo Contencioso-Administrativo del Tribunal Supremo, y publicar la incoación en el “Boletín Oficial del Estado” y en el diario oficial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11 de enero de 2012, el Abogado del Estado, actuando en representación del Gobierno del Estado, presentó sus alegaciones en el Tribunal Constitucional. Comienza en la contestación a la demanda recordando que el problema suscitado en este conflicto es, una vez más, la incidencia de las competencias estatales en las asumidas estatutariamente como exclusivas o compartidas, aspecto sobre el que ha fijado doctrina en la STC 31/2010, FFJJ 59, 60 y 64. De esta forma, la asunción por la Comunidad Autónoma de las competencias de los arts. 116.1 d) y b) y 162.3 EAC no pueden limitar las competencias que asisten al Estado, debiendo tenerse en cuenta que las obligaciones internacionales asumidas por el Estado obligan a reforzar la homogeneización de los aspectos técnicos y operativos. Cita la Directiva 98/58 del Consejo, de 20 de julio de 2000, mediante la que se traspuso al Derecho europeo el Convenio europeo de protección de animales en explotaciones ganaderas, el Reglamento (CE) 504/2008, de la Comisión por el que se aplican las Directivas 90/426/CEE y 90/427/CEE sobre identificación de équidos, el reglamento (CE) 1099/2009, del Consejo, sobre protección de los animales en el momento de la matanza y la Directiva 92/102/CEE que dio lugar al Real Decreto 479/2004, de 26 de marzo por el que se establece y regula el registro general de explotaciones ganaderas (REGA).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cumplimiento de unas condiciones mínimas de construcción, ubicación, higiénico sanitarias y de bienestar animal constituye pieza clave de este tipo de explotaciones, presentes en zonas rurales y urbanas, en desarrollo de los arts. 25, 36, 54 y 56 de la Ley 8/2003, de sanidad animal y de los arts. 4 y 6 de la Ley 32/2007, para el cuidado de los animales en su explotación. Se trata de una norma básica de desarrollo de dos leyes, hallándose la concreta habilitación en la disposición adicional quinta de la Ley 8/2003 y en el art. 4 de la Ley 33/2007, y ambas leyes son dictadas en ejercicio de competencias básicas. Frente a lo razonado por la demanda, entiende el Abogado del Estado, que concurren dos títulos competenciales para el dictado de los preceptos impugnados, de donde se extrae la aplicación de la técnica de la coordinación y no solo la relación bases-desarrollo. Tras explicar el alcance que en la doctrina constitucional se ha dado al título competencial del art. 149.1.13 CE, señala que el sector equino es el más diverso que existe en el ámbito ganadero, de una importancia económica del 0,2 por 100 de la producción final agraria (84,3 millones de euros en 2010), siendo las rentas obtenidas por actividades relacionadas entre 700 y 800 millones de euros. Es manifiesto, en consecuencia, que concurre el citado título competencial para el dictado de la norma impugnada. Por otra parte, tras explicar el contenido del art. 149.1.16 CE y de las bases en materia sanitaria, destaca la vinculación de la norma impugnada con la mejora sanitaria de las explotaciones y con la propia salud humana, y la posibilidad de que las bases desempeñen una labor de coordinación (STC 27/1987, de 27 de febrero) para conseguir la integración de una diversidad de intereses contrapuestos de distintas Comunidades Autónomas para la protección del sector equino. En relación con las epizootias, y en contra de lo alegado en la demanda, las enfermedades expresamente previstas en el anexo II son zoonóticas y con una elevada tasa de mortalidad humana.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concreto sobre los preceptos impugnados, considera que el art. 4.3 es un desarrollo de los arts. 36, 37, 53 y 54 de la Ley 8/2003, que ofrece una mínima regulación para cada una de las condiciones que recoge por lo que no impide a las Comunidades Autónomas su competencia de desarrollo normativo. Forman parte de la competencia estatal ex art. 149.1.16 CE la regulación de aspectos tales como la concreción del área en que se realizará la explotación, así como los métodos de aislamiento del exterior, control eficaz de entradas y salidas; formas y condiciones de la correcta limpieza y desinfección de vehículos; calzado de operarios y visitantes, locales y material y utensilios en contacto con los animales, método de garantizar el agua en cantidad y calidad; sistemas apropiados para el manejo de animales; ubicación y tamaño del material de construcción; medios adecuados de aislamiento de animales sospechosos de estar afectados por enfermedades contagiosas, forma y tamaño de los estercoleros, si en las concentraciones deben o no disponer de dispositivos de ducha para caballos y asistencia veterinaria y en tal caso sus características. Resultan de plena aplicación los razonamientos de las SSTC 158/2011 y 162/2011, que encuadran en la materia básica la regulación de las condiciones de funcionamiento de las explotaciones. El art. 4.3 es, por tanto formal y materialmente básico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4.5 desarrolla para el sector equino las condiciones necesarias para garantizar el bienestar animal, y utiliza las mismas expresiones genéricas y abiertas que fácilmente permiten apreciar la posibilidad de un posterior desarrollo normativo. Se inscribe en la materia sanidad, pues se dirige a mejorar la sanidad animal estableciendo unas mínimas medidas preventivas, y es formal y materialmente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demanda como principal razón impugnatoria del art. 6.1 y del anexo IV la previa existencia de una regulación autonómica del libro de explotación, pero ello es irrelevante para invalidar la regulación básica posterior. Ambos vienen a desarrollar lo dispuesto en los arts. 38.2, 39 y 56.2 de la Ley 8/2003. Se trata de una regulación de mínimos que tiene, además, un carácter flexible pues el párrafo segundo establece determinadas excepciones y la posibilidad de que las autoridades competentes eximan su llevanza a cierto tipo de explotaciones, mientras que los datos que deben figurar son mínimos, sin que el libro de explotación cumpla una función meramente instrumental. Al contrario, este contenido mínimo sirve para garantizar la trazabilidad de la carne de équidos debiendo incardinarse en la materia sanidad, tal y como señala la STC 158/2011.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8.2 y el anexo III del Real Decreto 804/2011, señala el Abogado del Estado que a pesar del marcado carácter técnico que concurre en el precepto impugnado y que le obliga a ser extenso para definir las materias que comprende, deja amplio margen para el desarrollo normativo. Además los programas del Anexo III son voluntarios, solo se aplican a un reducido número de animales —aquellos que se destinen a la monta natural— siendo el único efecto el de impedir que los animales que adolezcan de una calificación sanitaria oficial frente a ambas enfermedades puedan ser destinados a este tipo de monta. A las calificaciones sanitarias se refiere el art. 44 de la Ley 8/2003. Estas se obtienen por la realización de una serie de pruebas que el anexo II detalla. En lo que se refiere a los controles analíticos con toma de muestras, el anexo III se limita a reproducir el manual de pruebas de diagnóstico y de las vacunas de la Organización Mundial de la Salud. Se trata de una medida técnica indispensable para garantizar la homogeneidad técnica que haga posible la coordinación (STC 32/1983,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marzo de 2015,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cuestiona en este proceso la constitucionalidad de los apartados 3 y 5 del art. 4; el apartado 1 del art. 6; el apartado 2 del art. 8 y los anexos III y IV del Real Decreto 804/2011, de 10 de junio, por el que se regula la ordenación zootécnica, sanitaria y de bienestar animal de las explotaciones equinas y se establece el plan sanitario equino. Entiende la Comunidad Autónoma recurrente que el Estado ha excedido sus títulos competenciales vulnerando las competencias asumidas estatutariamente. Por el contrario, el Abogado del Estado sostiene que todos los preceptos impugnados son manifestación del correcto ejercicio de la competencia que atribuye al Estado el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resolver este conflicto debemos comenzar por realizar su encuadramiento competencial. La Generalitat de Catalunya no discute que la norma impugnada se haya dictado en ejercicio de las competencias que ostenta el Estado ex art. 149.1.13 y 16 CE, tal y como establece la disposición final segunda del Real Decreto 804/2011. Su discurso gira en torno a que los concretos preceptos impugnados han sido dictados en ejercicio de la competencia básica en materia de sanidad, que ha sido extravasada por el Estado, dada en algunos casos la obviedad y redundancia de sus determinaciones y, en otros, su prolijidad. El Abogado del Estado, aunque inicialmente señala que concurren ambos títulos competenciales para el dictado de la norma, después, al analizar los preceptos recurridos, se refiere única y exclusivamente al contemplado en el art. 149.1.16 CE, esto es, a la competencia del Estado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tal y como ha reconocido la doctrina constitucional, la competencia estatal de bases y coordinación de la planificación de la economía se proyecta en el subsector de la ganadería, habida cuenta de la relación reconocida y expresa que tiene con la política económica general (SSTC 145/1989, FJ 5; 158/2011, de 19 de octubre, FJ 8 y 207/2011, de 20 de diciembre, FJ 7). Así, este Tribunal ha afirmado que corresponde al Estado, en virtud de su competencia de ordenación general de la economía, establecer las directrices globales de ordenación y regulación del mercado agropecuario nacional, quedando reservada a la Comunidad Autónoma la competencia para adoptar, dentro del marco de esas directrices generales, todas aquellas medidas que no resulten contrarias a las mismas, sino complementarias, concurrentes o neutras, de tal forma que estando encaminadas a mejorar las estructuras de su propia agricultura y ganadería no supongan interferencia negativa o distorsionen la ordenación general establecida por el Estado, sino más bien que sean coadyuvantes o inocuas para esta ordenación estatal. Y, junto a ello, este Tribunal ha reconocido la competencia autonómica para adoptar las disposiciones necesarias en complemento del derecho comunitario europeo y para ejecutar y aplicar en su ámbito territorial normativa comunitaria siempre que, ratione materiae, las Comunidades Autónomas ostenten esa competencia y no rebasen la linde establecida por la normativa comunitaria y la estatal básica o de coordinación (STC 104/2013, de 25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la doctrina constitucional ha puesto de manifiesto el juego del título competencial del art. 149.1.16 CE, en el subsector ganadería (entre otras SSTC 32/1983, de 28 de abril, FJ 3, y158/2011, de 19 de octubre, FJ 10). Así lo reconoció este Tribunal al afirmar que las epizootias que hayan de afectar al ganado se inscriben competencialmente en la materia de sanidad (SSTC 32/1983, de 28 de abril, FJ 3, y 192/1990, de 29 de noviembre, FJ 2), competencia que comprende también las medidas de prevención y lucha contra las enfermedades de los animales, tal y como ha afirmado la STC 158/2011, de 19 de octubre, FJ 10. La competencia estatal de sanidad incluye el establecimiento de las bases y la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116.1 d) del Estatuto de Autonomía de Cataluña (EAC) atribuye en exclusiva a la Comunidad autónoma recurrente la sanidad animal cuando no tenga efectos sobre la salud humana y la protección de los animales. Al mismo tiempo, la competencia compartida en materia de sanidad y salud pública incluye la sanidad animal con efectos sobre la salud humana [art. 162.3 b) EAC]. De ello hay que entender que la competencia sobre sanidad animal en el sector ganadero es sustancialmente una competencia sanitaria aunque se proyecte en éste ámbito. Tal y como precisó la STC 31/2010, FFJJ 59, 60 y 64, la asunción por la Comunidad Autónoma de competencias exclusivas no impide el ejercicio de las exclusivas del Estado ex art. 149.1 CE, sea cuando éstas concurren con las autonómicas sobre el mismo espacio físico u objeto jurídico, sea cuando se trate de materias de competencia compartida, cualquiera que sea la utilización de los términos “competencia exclusiva” o “competencias exclusivas” en los preceptos del Estatuto. En aplicación de esta doctrina, las competencias asumidas por la Comunidad Autónoma en el apartado d) del art. 116.1 EAC están limitadas por las citadas competencias estatales, y así lo tuvo en cuenta la STC 6/2014, de 27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afirmado, cabe señalar que, a la hora de abordar la acomodación de los concretos preceptos impugnados al orden constitucional de competencias, debe partirse de la más específica en que estos se sustentan que es, por otra parte, la técnica utilizada en la Sentencia más reciente en materia de ganadería, la STC 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esta labor, que acometeremos en los siguientes fundamentos jurídicos, se tendrá en cuenta el contenido de los preceptos impugnados y la finalidad que éstos persiguen, no sin antes rechazar el argumento de la Abogacía del Estado, según el cual el alcance de las competencias estatales sería más intenso dado que las obligaciones internacionales asumidas por el Estado obligan a reforzar la homogeneización de los aspectos técnicos y operativos. Pues bien, el reparto interno de competencias no viene prejuzgado por el Derecho comunitario europeo que, salvo excepción, reconoce a los Estados miembros plena autonomía para ordenar la organización interna y el procedimiento destinado al desarrollo y ejecución del Derecho europeo conforme a las propias normas nacionales. En conclusión, este tipo de cuestiones deben resolverse exclusivamente conforme a las normas constitucionales y estatutarias de distribución de competencias, tal y como este Tribunal ha señalado en reiteradas ocasiones. En concreto, en materia de ganadería, cabe citar por todas la STC 79/1992, de 28 de mayo,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impugna el apartado 3 del art. 4 del Real Decreto 804/2011, “condiciones generales de las construcciones e instalaciones”, cuyo tenor literal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explotación se situará en un área delimitada, aislada del exterior y que permita un control eficaz de entradas y salidas de vehículos, personas y animales mediante un vallado perimetral o sistemas equivalentes.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explotación dispondrá de un sistema apropiado a las características de cada explotación para la correcta limpieza y desinfección de vehículos, calzado de los operarios y visitantes, y locales, material y utensilios que están en contacto con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Deberán disponer de agua en cantidad y calidad higiénica adecuadas para los animales y de dispositivos de reserva de agua o sistemas equivalentes que aseguren su suministro adecuado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Deberán disponer de sistemas apropiados de manejo de los animales, diseñados para facilitar la aplicación de medidas zootécnicas así como los trabajos de identificación y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Dispondrán de un almacén o área destinada específicamente al almacenamiento de piensos que evite su deterioro, la contaminación por agentes exógenos y el acceso de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Contarán con medios adecuados para la observación y aislamiento de animales sospechosos de estar infectados por enfermedades infecciosas o infectados por las mismas, con arreglo a las características de la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Para la gestión de los estiércoles generados en las instalaciones de estabulación, deberán disponer de estercoleros impermeabilizados natural o artificialmente, que eviten el riesgo de filtración y contaminación de las aguas superficiales o subterráneas, con capacidad suficiente para permitir la gestión adecuada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En el caso de concentraciones de équidos para concursos o competiciones o para actividades de carácter lúdico o cultural deberán, si la autoridad competente así lo considera necesario, disponer de dispositivos de ducha para caballos y tener acceso a asistencia veterinaria.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lo previsto en la letra a) no será de aplicación a las poblaciones de équidos que vivan en condiciones silvestres o semi-silvestres, lo previsto en las letras b), e), f) y g) no serán de aplicación a las explotaciones equinas extensivas, y lo establecido en las letras b), d), e) y f) g) no serán de aplicación a las explotaciones equinas de pequeña capacidad aunque deberán realizar una adecuada gestión de estiércoles.”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impugnado desarrolla los arts. 36, 37 y 54 de la Ley 8/2003, de sanidad animal. En concreto el art. 36.2 de dicha Ley prevé que las condiciones sanitarias básicas que deben cumplir las explotaciones de animales serán las que establezca la normativa vigente. En todo caso, las explotaciones intensivas y los alojamientos en las extensivas deberán estar aislados, de tal forma que se limite y regule sanitariamente el libre acceso de personas, animales y vehículos. El art. 37 establece que cualquier actividad de explotación animal estará supeditada a la eliminación higiénica de efluentes, subproductos de explotación, residuos de especial tratamiento y cadáveres, de acuerdo con las normas de sanidad animal, salud pública y protección del medio ambiente. Finalmente el art. 54 al regular los requisitos para la autorización de certámenes pecuarios, que corresponde al órgano competente de la Comunidad Autónoma en que radiquen, exige que tengan un emplazamiento higiénico, con unas instalaciones adecuadas, y estar distanciados de explotaciones ganaderas o instalaciones que puedan ser fuente o vehículo de enfermedades de los animales; disponer de medios humanos, materiales y técnicos necesarios para asegurar el correcto desarrollo del certamen, así como un centro de limpieza y desinfección en, al menos, los certámenes de ganado de carácter nacional o en los que se pretenda destinar los animales a comercio intracomunitario. Este precepto remite al reglamento para el resto de requisitos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su contenido, no cabe duda de que la competencia estatal que se relaciona más efectivamente con el apartado impugnado es la sanidad, materia en la que el Estado dispone, ex art. 149.1.16 CE, de la capacidad para establecer las normas básicas y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inclusión de normas básicas en una disposición reglamentaria obliga a determinar si son formal y materialmente básicas. La disposición final quinta de la Ley 8/2003 autoriza al Gobierno a dictar cuantas disposiciones sean precisas para la aplicación y desarrollo de esta Ley, de manera que una interpretación sistemática de la misma debe llevar a entender que la remisión a la “normativa vigente” que realiza el art. 36.2 para la determinación de las condiciones sanitarias básicas, o la llamada del art. 37 a las “normas de sanidad animal”, o finalmente la remisión al reglamento para completar los requisitos exigidos a los certámenes, lejos de establecer una reserva de competencia autonómica, como alega la Comunidad recurrente, incluye el desarrollo por el Gobierno, en una materia esencialmente técnica, de lo regulado en la propia ley en lo que sea preciso para garantizar el mínimo denominador común de aplicación en todo el territorio, que es, en definitiva, lo que supone la legislación básica. Ello no es óbice para que, aun cuando lo básico pueda, como ocurre en este caso, tener acomodo en una norma reglamentaria, le sea exigible, como a las leyes, que su carácter básico se declare expresamente en la norma o se infiera de su estructura en la misma medida para evitar elementos de confusión e incertidumbre (STC 158/2011, de 19 de octubre, FJ 7). Este requisito se ve satisfecho por la disposición final segunda del Real Decreto cuestionado cuando establece que se dicta al amparo de lo dispuesto en el artículo 149.1.13 y 16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señalado conduce a considerar que la Ley 8/2003 otorga cobertura al precepto impugnado, en cuanto que establece, para un concreto tipo de explotaciones ganaderas, las equinas, prescripciones técnicas sanitarias y relativas al tratamiento para la eliminación de un tipo de subproducto, el estiércol, directamente relacionado con la sanidad animal y humana, con el medio ambiente etc. Ello, junto con la afirmación de su carácter básico por la disposición final segunda del reglamento impugnado, permite entender justificado el cumplimiento de las exigencias de la normativa básica desde la perspectiva formal.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Materialmente, todas estas medidas —aislamiento y control de entradas; sistema de limpieza y desinfección; agua; sistemas de tratamiento de animales adaptados a la aplicación de medidas zootécnicas; aislamiento de alimentos para caballos; observación de animales sintomáticos, medidas de limpieza de équidos en los certámenes y medidas de eliminación del estiércol— tienen la finalidad de minimizar los riesgos sanitarios y medioambientales de todo orden que generan estas explotaciones y la eliminación de sus residuos. Ahora bien, como recuerdan las SSTC 207/2011, de 20 de diciembre, FJ 8, y 158/2011, FJ 10, estas normas básicas deben ser de mínimos, pudiendo ser completadas con mayor rigor de protección por las Comunidades Autónomas sin que lo básico tenga vetado la regulación de lo obvio, redundante o propio del sentido común, pues corresponde al Estado definir el contenido material de lo básico siempre que se respeten los límites anteriormente 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las prescripciones que contiene el apartado impugnado utilizan conceptos indeterminados que permiten su concreción por la Comunidad Autónoma a quien corresponde la definición de los sistemas de cerramiento equivalentes al vallado, de los controles eficaces de salidas; de los sistemas de desinfección, de la cantidad y calidad del agua, de los sistemas de manejo de animales, de las características del almacén de piensos, de los medios para la observación de los animales, de las formas de impermeabilización de estercoleros y su capacidad,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apartado 3 del art. 4 del Real Decreto 804/2011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el apartado 5 del art. 4, “condiciones para garantizar el bienestar animal” cuyo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previsto en la Ley 32/2007, de 7 de noviembre, para el cuidado de los animales en su explotación, transporte y sacrificio, deberán cumplirse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explotaciones dispondrán de instalaciones o sistemas apropiados que permitan, en la medida en que sea necesario y posible, la protección contra las inclemencias del tiempo y los depredadores.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materiales que se utilicen para la construcción, en particular de recintos y de equipos con los que los animales puedan estar en contacto, no deberán ser perjudiciales para los animales y deberán poderse limpiar y desinfectar a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instalaciones para alojar a los animales se construirán y mantendrán de forma que no presenten bordes afilados ni salientes, que puedan causar heridas a los animales, y que contemplen el necesario vallado en función del tipo de explotación, salvo, en este último caso, en las explotaciones extensivas, pastos y de animales silvestres o semisilvestres.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interior de las construcciones donde se alojen animales, la circulación del aire, el nivel de polvo, la temperatura, la humedad relativa del aire y la concentración de gases deben mantenerse dentro de los límites que no sean perjudiciales.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No se limitará la libertad de movimientos propia de los animales de manera que se les cause sufrimiento o daños innecesarios, teniendo en cuenta la edad del animal y su estado fisiológico.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animales deberán recibir una alimentación sana, que sea adecuada a su edad y especie y en suficiente cantidad con el fin de mantener su buen estado de salud y de satisfacer sus necesidades de nutrición. Todos los animales deberán tener acceso al agua, en cantidad y calidad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más directamente afectada en este caso es la sanidad animal, en la que debe circunscribirse el bienestar animal por la estrecha relación que guarda con ésta. En concreto, el art. 4 de la Ley 32/2007, de 7 de noviembre, para el cuidado de los animales, en su explotación, transporte, experimentación y sacrificio, determina que las Administraciones públicas adoptarán las medidas necesarias para asegurar que, en las explotaciones, los animales no padezcan dolores, sufrimientos o daños inútiles, para lo que se tendrá en cuenta su especie y grado de desarrollo, adaptación y domesticación, así como sus necesidades fisiológicas y etiológicas, de acuerdo con la experiencia adquirida, los conocimientos científicos y la normativa comunitaria y nacional de aplicación en cada caso. La disposición sexta de esta Ley autoriza al Gobierno, en el ámbito de las competencias del Estado, a dictar cuantas disposiciones sean precisas para la aplicación y desarrollo de esta Ley, y en particular, para concretar el régimen de infracciones y sanciones dispuesto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concluir, por las mismas razones señaladas en relación al apartado cuarto de este mismo precepto, que esta regulación es formal y materialmente básica. Lo es formalmente a la vista de la remisión que la disposición final sexta realiza al desarrollo reglamentario del Gobierno sin perjuicio de la competencia de las Administraciones competentes para su desarrollo, y de la disposición final segunda del reglamento impugnado que afirma su carácter básico. Materialmente, porque todas las prescripciones establecidas en el apartado impugnado tienden a garantizar que los équidos no sufran dolor, padecimiento o daños inútiles, dejando un amplio margen de desarrollo normativo a las Comunidades Autónomas, ya que los conceptos jurídicos indeterminados que se utilizan para la determinación de las bases, tales como instalaciones apropiadas; materiales no perjudiciales, límites que no sean perjudiciales, edad del animal y estado fisiológico etc. permiten su concreción por la Comunidad Autónoma. Esta conclusión se ve corroborada, a mayor abundamiento, por la propia recurrente cuando afirma que se trata de obviedades y redundancias y que, precisamente por ello, no tienen cabida en el título de lo básico. En razón de lo expuesto, el apartado 5 del art. 4 del Real Decreto 804/2011 no vulnera las competencias de la Comunidad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6.1 del reglamento impugnado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libro de explotación, que podrá ser llevado de forma electrónica, deberá tener un formato aprobado por la autoridad competente y deberá contener los datos mínimos que se indican en el anexo IV. No obstante lo anterior, el libro de explotación de los mataderos podrá no incluir los datos contenidos en los párrafos b), f), g), j), k) y l) del anexo IV, debiendo, además, en cualquier caso, retener el DIE del animal sacrificado, y hacer constar en el libro de explotación que se ha comprobado que en el DIE adjunto consta expresamente, en la parte II de su sección IX, que se trata de un animal destinado desde su origen al sacrificio para consumo humano. Lo señalado en este apartado se entenderá sin perjuicio del resto de comprobaciones de las restantes secciones del DIE y sin perjuicio del resto de información que debe tener en su poder a efectos del cumplimiento del Real Decreto 361/2009, de 20 de marzo, por el que se regula la información sobre la cadena alimentaria que debe acompañar a los animales destinados a sacrificio, y de acreditación de lo exigido en el Real Decreto 54/1995, de 20 de enero, sobre protección de los animales en el momento de su sacrificio o matanza y, en este último caso, a 	partir del 1 de enero de 2013, en el Reglamento (CE) n.º 1099/2009, del Consejo, de 24 de septiembre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del anexo IV titulado “contenido mínimo del Libro de explotación",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Código REGA de la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Nombre, coordenadas geográficas y/o dirección de la explotación.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Identificación del titular, NIF, pasaporte o tarjeta de residencia, dirección completa y, en su caso, teléfono fijo y/o móvil, y/o fax.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Códigos de identificación de los animales presentes en la explotación, de acuerdo con lo establecido en el Real Decreto1515/2009, de 2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Especie, sexo, raza y fecha de nacimiento del animal.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Inspecciones y controles: fecha de realización, motivo, número de acta, en su caso, e identificación 	del veterinario actuante.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Nacimientos y muertes en la explotación con la fecha del suceso.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Posibles incidencias en la identificación de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Entrada de animales: fecha, código de la explotación de procedencia, identificación del animal número de guía, certificado sanitario o documento de traslado, identificación del transportista y número de matrícula del vehículo y, en su caso, de la parte del medio de transporte que contenga a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Salida de animales: fecha, código de la explotación de destino, identificación del animal y número de guía, certificado sanitario o documento de traslado.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Identificación de las personas al cuidado de los animales.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Nombre, apellidos y firma del representante de las autoridades competentes que haya comprobado el 	registro y la fecha en la que se llevó a cabo la comprobación.”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6.1 impugnado así como el anexo, que determina el contenido mínimo del libro de explotación, deben analizarse en el contexto que establece la Ley 8/2003, de sanidad animal. El art. 38 de la citada Ley regula el registro y libro de explotación, sobre el que tienen competencias las Comunidades Autónomas en la que radiquen las explotaciones, aunque contempla la existencia de un registro nacional de carácter informativo, directamente relacionado con el sistema de identificación (art. 39 de la Ley 8/2003) de las especies animales a la que nuestro Estado viene obligado por la Directiva 92/102/CEE del Consejo, de 27 de noviembre de 1992, relativa a la identificación y al registro de animales, incorporada al ordenamiento jurídico español por el Real Decreto 205/1996, de 9 de febrero, por el que se establece un sistema de identificación y registro de las especies bovina, porcina, ovina y caprina. Esta obligación del derecho europeo ha sido ampliada por el Estado español, en la Ley de sanidad, a todas las explotaciones ganaderas ubicadas en España, siendo el Real Decreto 479/2004, de 26 de marzo, el que regula este registro (REGA) así como los datos necesarios para llevar a cabo las inscripciones y la caracterización del código de identificación de cada explotación. El registro general de explotaciones ganaderas se nutre de los datos obrantes en los registros gestionados por los órganos competentes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en la que se inscribe el apartado impugnado tiene, en consecuencia, directa conexión con la sanidad animal a la que sirve la identificación de las especies, pues tal y como este Tribunal afirmó en la STC 158/2011, de 19 de octubre, FJ 11: “No existe duda, por tanto, que la identificación del ganado forma parte de un conjunto de medidas sanitarias dirigidas a la prevención y lucha contra las enfermedades de los animales, siendo más específica esta finalidad que otras de orden económico o medioambiental que, sin duda, también están presentes”. El apartado impugnado es formalmente básico, pues constituye un desarrollo para las explotaciones equinas de la previsión de los arts. 38 y 39 de la Ley 8/2003, amparado por la disposición final quinta de esta norma legal. Y es materialmente básico pues se limita a establecer cuándo es exigible, a determinar que podrá ser llevado de forma electrónica, que deberá tener un formato aprobado por la autoridad competente y deberá contener los datos mínimos que se indican en el anexo IV, según el tipo de explotación, dejando un margen de desarrollo normativo a las Comunidades Autónomas. En concreto, es necesaria la determinación de los datos mínimos para que el registro general de explotaciones ganaderas pueda cumplir su función informativa, sin perjuicio de que la Comunidad Autónoma recurrente pueda ampliarlos en aquello que considere necesario para el ejercicio de sus competencias y, en especial, de la asumida en materia de ganadería.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el apartado 2 del art. 8 del Real Decreto 804/2011 (“El programa de control se realizará de acuerdo a lo establecido en las partes I y II del anexo III”) y el anexo III.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apartado se inscribe en el art. 8, relativo a los programas sanitarios de control oficial de enfermedades equinas y de vigilancia epizootiológica, cuya ejecución corresponde a la Comunidad Autónoma. El anexo III regula los programas de control oficial frente a dos enfermedades de transmisión sexual, la arteritis viral equina (parte I) y la metritis contagiosa equina (parte II), estableciendo qué caballos, de todos los reproductores, están sujetos al programa —los destinados a la monta natural—, la periodicidad del control analítico y las condiciones para realizarlo, las técnicas analíticas a utilizar para la identificación del virus; las calificaciones sanitarias; las normas para la cubrición, y el protocolo sanitario para realizar las vacunaciones.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 afectada es sin duda la sanidad, en la que se inscriben las enfermedades animales y las técnicas preventivas de las mismas (STC 158/2011, de 19 de octubre, FJ 10). Alega la Comunidad recurrente que el art. 8.2, puesto en relación con el anexo III, establece una regulación de las competencias de ejecución autonómicas que determina su ejercicio cuando se trata de enfermedades que no tienen incidencia sobre la salud humana por lo que no requerirían de una función de coordinación tan intensa.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función de coordinación, en concreto en materia sanitaria, este Tribunal ya afirmó en la STC 32/1983, de 28 de abril, FJ 2 que persigue la integración de la diversidad de las partes o subsistemas en el conjunto, evitando contradicciones y reduciendo disfunciones que, de subsistir, impedirían o dificultarían respectivamente la realidad misma del sistema. Por ello, aunque constituye un reforzamiento o complemento de la noción de bases, es una competencia distinta a la de fijación de las bases, y presupone lógicamente que hay algo que debe ser coordinado, esto es, presupone la existencia de competencias de las Comunidades Autónomas en materia de sanidad. El Estado, al coordinarlas, debe obviamente respetarlas, pues ni la fijación de bases ni la coordinación general deben llegar a tal grado de desarrollo que dejen vacías de contenido las correspondientes competencias de las Comunidades Autónomas. En definitiva, debe ser entendida como la fijación de medios y de sistemas de relación que hagan posible la información recíproca, la homogeneidad técnica en determinados aspectos y la acción conjunta de las autoridades sanitarias estatales y comunitarias en el ejercicio de sus respectivas competencias de tal modo que se logre la integración de actos parciales en la globalidad del sistema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observarse que la regulación técnica que incluye el anexo III sólo afecta al control de la arteritis viral equina y la metritis contagiosa equina, quedando el resto de las enfermedades mencionadas en el anexo II sujetas a los programas de vigilancia epizootiológica que las Comunidades Autónomas establezcan. Si a ello se añade que los programas afectan a un número muy limitado de animales y contienen normativa técnica que pretende garantizar, a través incluso de la remisión a protocolos internacionales de los sistemas de análisis, la fiabilidad de los controles a efectos de impedir la extensión de estas dos enfermedades, no cabe afirmar que las competencias de ejecución de la Comunidad Autónoma en materia de vigilancia sanitaria animal hayan sido predeterminadas o vaciadas de contenido. Por tanto, ni el art. 8.2 ni el anexo III del reglamento impugnado vulneran las competencias de la Comunidad Autónoma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competencias interpuesto por la Generalitat de Catalunya.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los Magistrados don Luis Ignacio Ortega Álvarez y don Fernando Valdés Dal-Ré a la Sentencia dictada en el conflicto positivo de competencia núm. 5937-2011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(LOTC) y con pleno respeto a la opinión de la mayoría del Tribunal, debemos manifestar nuestra discrepancia con la Sentencia dictada, por las razones ya defendidas en su momento durante la deliberación y que expresamos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consideramos que la Sentencia hubiera debido abordar el encuadramiento de la presente controversia en el sistema material de distribución de competencias entre el Estado y las Comunidades Autónomas de forma mucho más precisa y cuidadosa en relación tanto con los preceptos constitucionales y estatutarios aplicables como con la doctrina constitucional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aborda esta cuestión en su fundamento jurídico 2 y lo hace de una forma extremadamente somera, sin examinar con el detalle y la precisión que hubieran resultado necesarios, los títulos autonómicos que se relacionan con la competencia estatal en materia de sanidad ex art. 149.1.16, que es la aquí concernida. La Sentencia solventa la cuestión con la mera cita de los títulos autonómicos de los arts. 116.1 d) y 162.3 b) del Estatuto de Autonomía de Cataluña (EAC) y la afirmación de que “la competencia sobre sanidad animal en el sector ganadero es sustancialmente una competencia sanitaria aunque se proyecte en éste ámbito”, para luego concluir que “las competencias asumidas por la Comunidad Autónoma en el apartado d) del art. 116.1 EAC están limitadas por las citadas competencias estatales, y así lo tuvo en cuenta la STC 6/2014, de 27 de enero,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en su dicción literal el art. 116.1 d) EAC atribuye a la Comunidad Autónoma, en el marco de sus competencias sobre agricultura y ganadería, la competencia exclusiva en materia de “sanidad vegetal y animal cuando no tenga efectos sobre la salud humana y la protección de los animales”. Paralelamente, en el art. 162.3 b) EAC, la competencia compartida se circunscribe a la “sanidad animal con efectos sobre la salud humana”. Interesa advertir que la sanidad animal sin efectos sobre la salud humana no se concibe por el Estatuto de Autonomía de Cataluña como parte integrante de la “sanidad” y la “salud pública”, sino de la “agricultura y ganadería”. Por su parte la sanidad animal con efectos sobre la salud humana se integra en la materia “sanidad”, más específicamente la “salud pública”. Es cierto que la referencia del art. 116 EAC al 149.1.16 CE evidencia que la “sanidad animal que no tenga efectos sobre la salud humana” no queda, como podría parecer en primera instancia, circunscrita, respecto al título de intervención estatal, al mero ámbito de la ordenación de la economía del sector primario sino también vinculada al título constitucional de “sanidad”.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Señalado lo anterior, es claro que, atendiendo al objeto y finalidad de las normas impugnadas, nos hallaríamos en el ámbito del art. 149.1.16 CE en relación con lo dispuesto en el art. 116.1 d) EAC. Así, el adecuado encuadramiento competencial requería interpretar el alcance de las citadas competencias autonómicas cuando no esté comprometida la salud humana, como es el caso. La Sentencia no lleva a cabo esta operación, más que de modo somero y por referencia a jurisprudencia anterior, que no se cita correctamente y que no se ha adentrado en el análisis de los citados títulos competenciales estatutarios, que específicamente acotan un ámbito de competencias a favor de la Comunidad Autónoma lógicamente más intenso cuando no está en juego la salud humana. En cuanto a lo primero estimamos que la correcta lectura de la doctrina de las SSTC 32/1983, de 28 de abril, FJ 3; 192/1990, de 29 de noviembre, FJ 2; y 158/2011, de 19 de octubre, FJ 9, lleva a conclusiones mucho más matizadas respecto al alcance de la competencia estatal, pues aunque, conforme a la doctrina las epizootias que hayan de afectar al ganado se inscriben competencialmente en la materia de sanidad, eso no puede servir para legitimar cualquier tipo de medida estatal. De hecho las examinadas en las Sentencias citadas se referían esencialmente a medidas de naturaleza coordinadora, que presupone la actuación autonómica, o preventivas y, en este caso, es patente que, al menos alguna de las normas impugnadas, exceden, con mucho, dichos ámbitos.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también un segundo problema de principio en la Sentencia, que consiste en su argumentación acerca de la necesaria “densidad normativa” de las bases estatales. En nuestra opinión esta construcción, en la que late la idea de que lo que es obvio ha de ser necesariamente básico, se sitúa a espaldas de la doctrina constitucional sobre la noción de lo básico. Como es conocido esa doctrina ha tenido un desarrollo muy extenso y matizado, que entre otras cosas implica la necesidad de analizar en una perspectiva forzosamente casuística el contenido de cada precepto calificado como básico, en el contexto de las finalidades a las que sirve y de su propio contenido. Es cierto que esa aproximación en la práctica ha dado como resultado una interpretación no precisamente restrictiva del alcance de lo básico en la doble perspectiva material y formal, pero estimamos que el Tribunal debiera evitar utilizar argumentos que, con escaso fundamento en su doctrina, pueda expandirla todavía más, lo que sucedería si se consagra esta idea de la escasa densidad normativa como consustancial a lo básico.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combinación de ambos elementos, produce como resultado un enjuiciamiento más que condescendiente con la regulación estatal que conduce a la desestimación integra del conflicto, cuando una adecuada delimitación competencial y un entendimiento de lo básico ajustado a los parámetros de nuestra doctrina hubiera debido conducir a conclusiones algo diferentes. Ello es particularmente patente en el caso de los arts. 4.5 y 8.2 en su remisión al anexo III.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al primero de ellos, relativo a las denominadas “condiciones para garantizar el bienestar animal”, la Sentencia simplemente afirma que “la materia más directamente afectada en este caso es la sanidad animal, en la que debe circunscribirse el bienestar animal por la estrecha relación que guarda con ésta”. A nuestro juicio, la inclusión sin matices de la materia “bienestar animal” en la “sanidad animal” y, con ello, en el ámbito de la legislación básica en materia de sanidad (art. 149.1.16 CE) es un nuevo ejemplo de injustificada expansión de la competencia estatal, en la medida en que la Sentencia no repara solo en que el tratamiento de la “protección de los animales” figura en el Estatuto de Autonomía de Cataluña como competencia exclusiva autonómica, cuanto tampoco en que resulta evidente que, dado el tenor literal del precepto, no se refiere a cuestiones relacionadas con epizootias a las que, según la doctrina que la Sentencia dice aplicar, sería de aplicación el título estatal en materia de sanidad. El bienestar animal, que ha sido objeto de amplia regulación en el Derecho europeo, tiene una regulación cuidadosamente limitada por razones competenciales en la Ley estatal 32/2007, de 7 de noviembre, para el cuidado de los animales, en su explotación, transporte, experimentación y sacrificio. Quiere decirse con ello que no se trata de negar la competencia del Estado para regular determinados aspectos del bienestar animal, pero consideramos a todas luces excesivo reconducir toda la regulación al ámbito de la competencia estatal sobre legislación básica en materia de sanidad, como parece apuntar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el razonamiento de la Sentencia acerca del anexo III impugnado es sumamente discutible pues, en esencia, lo que viene a sostenerse es que la detallada regulación del programa de control que contiene sólo afecta a dos enfermedades y que, puesto que el resto de las previstas en la norma quedan sujetas a los programas de vigilancia epizootiológica que las Comunidades Autónomas establezcan, eso hace que no se vulneren sus competencias. Pero eso no es, en realidad, lo que debía resolverse, sino que lo hubiera debido determinarse es la razón por la que era necesaria esa detallada intervención estatal en relación, precisamente, con esas dos enfermedades, para lo que es absolutamente indiferente que, con respecto a las restantes, no se vulnerasen las competencias autonómicas. Antes al contrario, el contraste entre los anexos II y III del Real Decreto hace todavía más necesaria una indagación que la Sentencia renuncia a realizar, consagrando, nuevamente, una interpretación sumamente expansiva de las competencias 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ese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marzo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