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6368-2013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6368-2013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pretendida.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inconstitucionalidad núm. 6368-2013 interpuesto por la Generalitat de Cataluña contra los arts. 7 y 8.5 del Real Decreto-ley 11/2013, de 2 de agosto, para la protección de los trabajadores a tiempo parcial y otras medidas urgentes en el orden económico y social se ha dictado la STC 27/2015, de 19 de febrero, notificada a las partes el 25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Registro General de este Tribunal el día 27 de febrero de 2015, la Abogada de la Generalitat de Cataluña solicita la aclaración de la citada Sentencia señalando que en la misma se omite un pronunciamiento específico sobre la titularidad de la competencia. Así, tras aludir al art. 92 de la Ley Orgánica del Tribunal Constitucional (LOTC) y al art. 267.5 de la Ley Orgánica del Poder Judicial (LOPJ), que entiende de aplicación supletoria ex art. 80 LOTC, formula las consideraciones siguientes. Alude en primer lugar al objeto del recurso de inconstitucionalidad y a las dos pretensiones formuladas en el mismo, la declaración de nulidad de los preceptos impugnados tanto por vulneración del art. 86.1 CE como por infracción del orden constitucional de distribución de competencias. Señala, igualmente, que presentó un escrito ante este Tribunal poniendo de manifiesto la convalidación del Real Decreto-ley y su consiguiente tramitación como proyecto de ley por el procedimiento de urgencia, culminado con la aprobación de la Ley 1/2014, de 28 de febrero, para protección de los trabajadores a tiempo parcial y otras medidas urgentes en el orden económico y social, escrito en el que se ponía de manifiesto la subsistencia de la controversia competencial planteada. Pese a ese doble fundamento del recurso, la Abogada de la Generalitat indica que la Sentencia, tras reconocer la pervivencia de la controversia competencial, omite el pronunciamiento sobre el orden de distribución competencial y la titularidad de la competencia controvertida, limitándose a declarar la inconstitucionalidad y nulidad de los arts. 7 y 8.5 del Real Decreto-ley 11/2013 por vulneración del art. 86.1 CE. Para la Abogada de la Generalitat de Cataluña es notorio que el análisis de la infracción competencial alegada resultaba necesaria, lo que significa que la Sentencia ha incurrido en una incongruencia omisiva determinante de la indefensión de la Generalitat de Cataluña, puesto que la lesión competencial denunciada pervive en la Ley 1/2014, sin que pueda proceder a su impugnación por haber transcurrido el plazo para llevarla a cabo. Por ello, estima necesario aclarar la Sentencia, complementándola con un pronunciamiento sobre la titularidad de la competencia controvertida.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de este Tribunal la aclaración de sus Sentencias. La solicitud de aclaración ha sido presentada en el plazo legalmente establecido y por una de las partes procesales. Ahora bien, como hemos expresado en reiteradas ocasiones, la solicitud de aclaración no constituye un medio de impugnación encaminado a la sustitución o revisión de la decisión adoptada, pues contra las Sentencias del Tribunal Constitucional no cabe recurso alguno. Su objeto ha de limitarse, en consecuencia,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(por todos, ATC 94/2013, de 7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aclaración solicitada excede claramente del objeto de este trámite procesal pues, atendiendo a los términos en los que la solicitud se formula, se aprecia que, en realidad, bajo la denominación de solicitud de aclaración, se nos pide ahora un nuevo pronunciamiento acerca de los preceptos impugnados, lo que obviamente es improcedente en este momento procesal. En efecto, no procede hacer manifestación alguna que pueda conllevar alteración de la fundamentación o de la decisión de la Sentencia, dado que no existe omisión alguna sino, tal como se advierte en su fundamento jurídico 2, aplicación de la consolidada doctrina constitucional que otorga preferencia a la denunciada vulneración del art. 86.1 CE, pues según dicha doctrina (SSTC 11/2002, de 17 de febrero, FJ 2; 332/2005, de 15 de diciembre, FJ 4; 31/2011, de 17 de marzo, FJ 2; 137/2011, de 14 de septiembre, FJ 2; y 170/2012, de 4 de octubre FJ 4), su examen ha de ser prioritario en el orden de nuestro enjuiciamiento toda vez que esa tacha incide directamente sobre la validez del precepto impugnado, en función de su propia forma de aprobación, de modo que, en el caso de ser estimada, resulta innecesario el análisis de las restantes alegaciones. Además, tal planteamiento se reproduce en el fundamento jurídico 8 de nuestra Sentencia, en el que se dice de modo textual que “la estimación del recurso por el primero de los motivos expuestos por la Generalitat de Cataluña hace innecesario el examen de las restantes alegaciones de la demanda”, por lo que tampoco desde la perspectiva de la alegada incongruencia omisiva que se denuncia, cabe acoger la pretensión de la Letrada de la Generalitat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pretendida.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