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27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1664-2012, promovido por las mercantiles Endesa S.A. y Endesa Generación S.A., representadas por el Procurador de los Tribunales don José Guerrero Tramoyeres y asistida por los Abogados don Juan José Lavilla Rubira y don José María Barrios Garrido, contra el Auto de la Sección Primera de la Sala de lo Contencioso-Administrativo del Tribunal Supremo de 30 de junio de 2011, que acordó inadmitir el recurso de casación núm. 6236-2010, y contra el Auto de 19 de enero de 2012 que desestimó el incidente de nulidad de actuaciones promovido contra aquél. Ha comparecido y formulado alegaciones el Abogado del Estado, en la representación que ostenta, y ha intervenido el Ministerio Fiscal. Ha sido Ponente la Magistrada doña Encarnación Roca Trias,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marzo de 2012 tuvo entrada en el Registro General de este Tribunal escrito presentado por el Procurador de los Tribunales don José Guerrero Tramoyeres, actuando en nombre y representación de las mercantiles Endesa, S.A., y Endesa Generación, S.A., y bajo la dirección letrada de los Abogados don Juan José Villa Rubira y don José María Barrios Garrido, mediante el que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representación procesal de las entidades Endesa, S.A., y Endesa Generación, S.A., se interpuso recurso contencioso-administrativo contra la resolución tácita que acuerda la desestimación por silencio del recurso interpuesto contra la resolución del Consejo de Administración de la Comisión Nacional de Energía de fecha de 24 de abril de 2008, por la que se determinan las obligaciones de pago de Endesa Generación, S.A., en aplicación de la Orden ITC/3315/2007, por la que se regula para el año 2006 la minoración de la retribución de la actividad de producción de energía eléctrica en el equivalente al valor de los derechos de emisión de gases de efecto invernadero asignados gratuitamente.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632-2008, la Sala de lo Contencioso-Administrativo de la Audiencia Nacional (Sección Primera) dictó Sentencia desestimatoria con fecha 14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se preparó recurso de casación por las mercantiles demandantes de amparo, que lo fue mediante escrito registrado en la Audiencia Nacional el 8 de octubre de 2010. En él se hizo constar su intención de interponer recurso de casación conforme a los requisitos formales señalados en el art. 89.1 de la Ley reguladora de la jurisdicción contencioso-administrativa (LJCA), la Sala ante la que se prepara el recurso, la legitimación para interponerlo, el plazo para la presentación del escrito, el carácter recurrible de la resolución impugnada así como motivo de la preparación del recurso, a saber, entender que la Sentencia impugnada se ha dictado con vulneración de las normas del ordenamiento jurídico aplicable y con infracción de las normas reguladoras de la Sentencia lo que, anuncia, se detallará en el escrito de interposición del recurso. Con fecha de 20 de octubre de 2010, fue notificada la providencia de 14 de octubre de 2010 dictada por la Sala de lo Contencioso-Administrativo de la Audiencia Nacional, por la que se tiene por preparado el recurso el recurso de casación y se emplaza a las partes para comparecer ante la Sala de lo Contencioso-Administrativo del Tribunal Supremo, en el plazo de treinta días, si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7 de diciembre de 2010, las actoras interpusieron recurso de casación ante el Tribunal Supremo contra la citada Sentencia. Recurso que fue tenido por presentado por providencia de 10 de diciembre de 2010 y que fue registrado con el número 6236-2010.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25 de abril de 2011 se dictó providencia por la que la Sala Tercera del Tribunal Supremo puso de manifiesto a las partes para alegaciones, la posible concurrencia de la causa de inadmisión consistente en “no haber citado en el escrito de preparación del recurso de casación las infracciones normativas o jurisprudenciales que la recurrente desarrollará en el escrito de interposición (artículos 88.1; 89.1 y 93.2.a) de la LJCA y Auto de la Sala de 10 de febrero de 2011, recurso de casación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16 de mayo de 2011, las entidades demandantes formalizaron escrito de oposición al posible motivo de inadmisión expuesto en la providencia de 25 de abril de 2011. Alegan, en síntesis, que el motivo de inadmisión citado resultaba contrario a la jurisprudencia consolidada que, de forma unánime, había venido manteniendo la Sala, siendo el mismo contrario al derecho fundamental a la igualdad en la aplicación de la ley (art. 14 CE), a los principios de confianza legítima y seguridad jurídica consagrados en el art. 9.3 CE y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30 de junio de 2011, la Sala Tercera del Tribunal Supremo (Sección Primera) acordó la inadmisión del recurso de casación. En apoyo de su decisión, la Sala se remitió a la doctrina establecida en los AATS de 14 de febrero de 2011 y 10 de febrero de 2011 (recursos núms. 6251-2010 y 2927-2010) y concluyó, tras proceder a la transcripción de los fundamentos jurídicos tercero y cuarto de la última de las resoluciones citadas, que si bien la parte recurrente expresó en el escrito de preparación su intención de interponer el recurso de casación por los motivos incardinables en los apartados c) y d) del art. 88.1 LJCA, no citó la normativa supuestamente infringida por la Sala de instancia respecto de ninguno de ellos, por lo que el recurso resultaba inadmisible, sin que frente a dicha conclusión pudieran prevalecer las razones expuestas por la actora en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3 de octubre de 2011, la parte demandante de amparo promovió incidente de nulidad de actuaciones. En síntesis, alegó la vulneración (i) del derecho a la tutela judicial efectiva (art. 24.1 CE) por incurrir el Auto impugnado en incongruencia omisiva al no dar respuesta a dos de las alegaciones planteadas en su escrito; (ii) del derecho a la tutela judicial efectiva (art. 24.1 CE), en su dimensión de acceso a los recursos; (iii) y del derecho a la igualdad en la aplicación judicial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19 de enero de 2012, la Sala Tercera del Tribunal Supremo (Sección Primera) desestimó el incidente de nulidad de actuaciones. La Sala aprecia, tras rechazar la alegada incongruencia omisiva que se imputa al Auto cuya nulidad se insta, que el incidente planteado se limita, en lo fundamental, a discrepar con la declaración de inadmisión del recurso de casación por ella efectuada y con los razonamientos jurídicos que fundan dicho pronunciamiento, utilizando el incidente de nulidad de actuaciones como si de un recurso de súplica se tratara, reiterando lo alegado en el escrito de alegaciones y que ha recibido contestación en el Auto impugnado. Advierte que es reiterada la doctrina constitucional que admite sin reservas el cambio jurisprudencial, siempre que no sea arbitrario y esté motivado, sosteniendo, después de hacer referencia a varias Sentencias de este Tribunal, la posibilidad de inadmitir un recurso de casación por un criterio interpretativo posterior al momento de presentación del escrito de preparación del recurso, acogiéndose al “mínimo efecto retroactivo”. Estima que “[e]n caso contrario, quedaría petrificada la nueva interpretación jurisprudencial a aquellos escritos de interposición de recursos que fueron presentados debidamente ante los Tribunales de Justicia a partir del momento del ‘anuncio’ del cambio de criterio, ‘anuncio’ a que no están obligados los órganos jurisdiccionales, tal y como tiene asentada la doctrina constitucional referida”. Asimismo, considera que hay que tener en cuenta que “una resolución judicial que incorpora un cambio de criterio jurisprudencial y cuya eficacia fuese meramente prospectiva sería un mero obiter dictum, amén de que se frustraría la finalidad del proceso porque la resolución no afectaría a las partes”, y que “[e]l único límite temporal al que se limitan los cambios de criterio jurisprudenciales, de conformidad con la doctrina del Tribunal Constitucional, es a las situaciones jurídicas que gozan de la protección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mercantiles demandantes de amparo basan su recurso en las siguientes vulneraciones que, de manera sucinta, se exponen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de amparo se denuncia que los Autos de 30 de junio de 2011 y 19 de enero de 2012, han vulnerado su derecho a la tutela judicial efectiva (art. 24.1 CE), en su vertiente de acceso a los recursos. Las recurrentes consideran que exigir el requisito consistente en anticipar en el escrito de preparación del recurso de casación los concretos preceptos o la jurisprudencia que se reputan infringidos, también cuando la resolución impugnada proceda de la Audiencia Nacional, es excesivamente riguroso y formalista, y no sólo se aparta sin una justificación razonable de los requisitos que hasta la fecha venían siendo exigibles conforme a la doctrina jurisprudencial de la Sala de lo Contencioso-Administrativo del Tribunal Supremo anterior al Auto de 10 de febrero de 2011, sino que, además, añade requisitos que no tienen cobertura legal en la Ley reguladora de la jurisdicción contenciosa-administrativa, incurriendo, por consiguiente, en arbitrariedad y falta de proporcionalidad. Las demandantes de amparo consideran, en síntesis, que fuera de los casos expresamente previstos en el art. 89.2 LJCA, la Ley no exige que en el escrito preparatorio del recurso se haya de hacer mención, ni tan siquiera sucinta, a la fundamentación jurídica del recurso con cita expresa de las normas y jurisprudencia infringidas, pues se trata de una cuestión de fondo que pertenece a la fase de interposición, tal y como expresamente prevé el art. 92.1 LJCA. Lo contrario —añaden— supondría equiparar los requisitos que se exigen respecto a los escritos de preparación de recursos interpuestos contra Sentencias de la Audiencia Nacional a los que se exigen para los escrito interpuestos contra Sentencias de los Tribunales de Justicia, obviando el “presupuesto sobreañadido” que para la inadmisión de estos últimos exige el art. 89.2 LJCA. Además, estiman, que ningún menoscabo puede causar a la parte recurrida la omisión por la parte recurrente de las normas y jurisprudencia que, en concreto, se consideran infringidas en 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mercantiles demandantes de amparo también consideran vulnerado el derecho a la tutela judicial efectiva (art. 24.1 CE), por fundarse la inadmisión de su recurso de casación en la omisión del citado requisito que no fue exigido por la Sala hasta el Auto de 10 de febrero de 2011. Entienden que al presentarse su escrito de preparación el 8 de octubre de 2010, se produjo una aplicación retroactiva de la citada jurisprudencia. Añaden que, teniendo en cuenta el “radical e inesperado cambio jurisprudencial” que se produjo tras el dictado del citado Auto, el órgano judicial debió adoptar medidas de flexibilización para no obstaculizar el ejercicio de su derecho (al respecto, cita la STC 143/2011,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las demandantes de amparo entienden vulnerado su derecho a la igualdad en la aplicación de la ley (art. 14 CE). Consideran que se cumplen los requisitos requeridos por la jurisprudencia constitucional para estimarla producida: cambio jurisprudencial, identidad de Sala y Sección, y falta de una de justificación razonable y suficiente del cambio de criterio. En apoyo de dicha afirmación se citan como término de comparación los Autos del Tribunal Supremo de 2 de diciembre de 2010 y 3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2012, la Sección Primera de este Tribunal, acordó, por unanimidad, con arreglo a lo previsto en el art. 50.1 a) de la Ley Orgánica del Tribunal Constitucional (LOTC), inadmitir a trámite la demanda de amparo, dada la manifiesta inexistencia de violación de un derecho fundamental tutelable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septiembre de 2012, y de conformidad con lo dispuesto en el art. 50.3 LOTC, el Ministerio Fiscal ante el Tribunal Constitucional interpuso recurso de súplica contra la citada providencia de 4 de julio de 2012, solicitando que se deje sin efecto la resolución de inadmisión, sin perjuicio de que se adopte la resolución procedente en orden a la admisión o no, por otras causas,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dictado por la Sección Primera de fecha de 17 de diciembre de 2012, se acordó estimar el recurso de súplica interpuesto por el Ministerio Fiscal y, en consecuencia, dejar sin efecto la providencia de 4 de julio de 2012, que declaró la inadmisión del presente recurso de amparo, debiéndose reponer las actuaciones al momento anterior a dictarse la providencia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2013, la Sala Primera del Tribunal Constitucional, de conformidad con lo dispuesto en el art. 11.2 LOTC, acordó admitir a trámite la demanda de amparo. Asimismo, en aplicación de lo dispuesto en el art. 51 LOTC, dispuso dirigir atenta comunicación al Tribunal Supremo y a la Audiencia Nacional a fin de que, en el plazo de diez días, remitieran certificación o fotocopia adverada de las actuaciones correspondientes al recurso de casación número 6236-2010 y al recurso núm. 632-2008,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14 de junio de 2013, el Abogado del Estado, en la representación que ostenta, se personó en el procedimiento, suplicando que, con la admisión del mismo, se le tenga por personado y parte en el presente recurso de amparo, entendiéndose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Justicia de la Sala Primera de este Tribunal, de fecha 17 de junio de 2013, se tuvieron por recibidos los testimonios de las actuaciones remitidos por el Tribunal Supremo y por la Audiencia Nacional, así como el escrito del Abogado del Estado a quien se tuvo por personado y parte en representación de la Administración del Estado. A tenor de lo dispuesto en el artículo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fecha de 17 de julio de 2013, las mercantiles demandantes de amparo presentaron escrito de alegaciones remitiéndose con carácter general a los hechos y fundamentos de Derecho alegados en la demanda de amparo, dándolos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mediante escrito registrado el 16 de julio de 2013. Comienza su escrito descartando que se haya vulnerado el derecho a la igualdad en la aplicación judicial de la ley (art. 14 CE). A su juicio, el ATS de 30 de junio de 2011, por el que se inadmite el recurso de casación interpuesto por las demandantes de amparo, no hace sino aplicar la línea jurisprudencial iniciada por el ATS de 10 de febrero de 2011, proseguida —añade— en decenas de autos de inadmisión dictados entre ambas fechas por la misma Sección y Sala, siendo irrelevante que existan resoluciones aisladas que se aparten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art. 24.1 CE, el Abogado del Estado, tras recordar la doctrina constitucional sobre la inadmisión del recurso de casación contencioso-administrativo por defectos insubsanables del escrito de preparación, analiza e interpreta el art. 89.1 LJCA; en especial, el contenido de la expresión “los requisitos de forma exigidos”. Considera que “’los requisitos de forma’ exigidos para el escrito de preparación son los que claramente figuran en la ley, pero no necesariamente estos, sino los que el Tribunal de casación pueda añadir al interpretar y aplicar la ley procesal sin desbordar los límites constitucionales”, es decir, sin arbitrariedad o irrazonabilidad. Estima, al respecto, que si bien desde el plano de la legalidad, es muy discutible la nueva exigencia jurisprudencial contenida en el ATS de 10 de febrero de 2011, la misma no puede calificarse ni de arbitraria ni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advierte que el auténtico problema constitucional que la demanda suscita, y en el que la parte tiene razón, radica en la “aplicación retrospectiva de las nuevas máximas jurisprudenciales” del citado Auto, que no eran conocidas al tiempo de preparación del recurso de casación. Argumenta que es irrazonable exigir para la realización de un acto procesal agotado, el cumplimiento de unos requisitos de forma que no existían en el momento en que se efectuó dicho acto procesal; requisitos que, por ello, la parte no tenía ninguna posibilidad de conocer ni de cumplir. A su juicio, “[l]a razonable expectativa o confianza legítima sobre la admisión de un recurso de casación preparado de acuerdo con los requisitos de forma exigidos por la jurisprudencia en el momento de presentar el escrito de preparación se ve sorpresivamente frustrada por la aplicación retrospectiva de las nuevas máximas jurisprudenciales sin dar oportunidad procesal ninguna de ajustar el escrito ya presentado a las nuevas exigencias”, lo cual provoca, no una violación del principio de seguridad jurídica (art. 9.3 CE), que no resulta protegido por el recurso de amparo, sino “una aplicación irrazonable, por contraria a la confianza legítima, de las nuevas máximas jurisprudenciales determinantes de la admisión o inadmisión del recurso de casación, que por ello se traducen en una violación del derecho de acceso al recurso”. Añade, que “[l]a razonabilidad se extiende no sólo la interpretación que se hace de la norma, sino la forma en que esa interpretación se aplica a los supuestos de hecho sujetos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Abogado del Estado apoya que se dicte una Sentencia con arreglo a Derecho, en la que la doctrina que dicte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mediante escrito registrado el 4 de septiembre de 2013, en el que interesa se dicte Sentencia por la que se la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 hecho, el Fiscal inicia su argumentación haciendo referencia a las vulneraciones aducidas por las recurrentes y a la jurisprudencia elaborada por el Tribunal Constitucional sobre las mismas. Considera que procede comenzar por el motivo de amparo relativo a la vulneración del derecho a la igualdad en la aplicación de la ley (art. 14 CE), pues de prosperar, carecería de sentido efectuar una consideración autónoma sobre la infracción del derecho a la tutela judicial efectiva (art. 24.1 CE), en la vertiente del derecho de acceso al recurso. Dicho esto estima que no se ha producido la denunciada vulneración del art. 14 CE, por cuanto no se dan los requisitos que exige la doctrina constitucional para entender producida la misma. En concreto considera que si bien en el presente caso estarían acreditados elementos de posible comparación —supuestos resueltos con distinto criterio e identidad de órgano judicial—, no puede hablarse ni de un cambio de criterio u orientación propiamente atribuible al Auto impugnado de 30 de junio de 2011, ni de una respuesta que resulte ser ocasional, ad personam o ad casum irreflexiva y carente de motivación y razonamientos. Por el contrario, la resolución impugnada incorpora, a su juicio, un criterio que es “secuela o seguimiento” de un cambio jurisprudencial consciente destinado a ser mantenido “con cierta continuidad con fundamento en razones jurídicas objetivas”, y que se motiva remitiéndose al ATS de 10 de febrero de 2011. A lo dicho añade que las demandantes no mencionan ni acreditan, como era su carga, la existencia de resoluciones que coetáneamente o con posterioridad al Auto impugnado hayan mantenido la posición anterior al ATS de 10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descarta, igualmente, que se haya vulnerado el derecho a la tutela judicial efectiva (art. 24.1 CE), en su vertiente de acceso a los recursos legalmente establecidos. A su juicio, el Auto de 10 de febrero de 2011, al que se remite el Auto impugnado, “no puede calificarse de inmotivado, irreflexivo, arbitrario o no razonado o irrazonable o/y carente de todo apoyo legal y, en consecuencia, tampoco, desde esta perspectiva, cabría calificarse de ilegítimo constitucionalmente hablando”. Argumenta que puede mantenerse sin dificultad que la obligación de indicar ya en la fase de preparación del recurso de casación tanto en el concreto o concretos motivos en que se fundará el recurso como también los concretos preceptos o jurisprudencia que se reputan infringidos o el contenido de las infracciones normativas o jurisprudenciales que se pretendan denunciar y desarrollar en el escrito de interposición del recurso de casación, “fluye del propio tenor de los apartados c) y d) del art. 88.1. LJCA”. También rechaza la posible vulneración del art. 24.1 CE, como consecuencia de la aplicación retroactiva de la nueva línea jurisprudencial dictada por la Sala de lo Contencioso-Administrativo del Tribunal Supremo tras el Auto de 10 de febrero de 2011. Considera, tras admitir la crudeza de la situación, que el hecho de que no se hubieran adoptado medidas de flexibilización y subsanación, como así propugnaban los demandantes, no vulnera derecho fundamental alguno. A su juicio, si bien dichas medidas hubieran resultado deseables, sin embargo, no tienen carácter obligatorio alguno al encontramos ante el derecho de acceso a los recursos y, particularmente, en sede de recurso de casación, cuya decisión corresponde al máximo intérprete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abril de 2015,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30 de junio de 2011, que acordó no admitir a trámite el recurso de casación interpuesto contra la Sentencia de la Sala de lo Contencioso-Administrativo de la Audiencia Nacional (Sección Primera) de 14 de septiembre de 2010, recaída en el procedimiento ordinario núm. 632-2008. También impugna el Auto de 19 de enero de 2012 que desestimó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recurrentes, según se expresa con más detalle en los antecedentes de hecho de esta resolución, imputa a las resoluciones recurridas: (i) la vulneración de su derecho a la tutela judicial efectiva (art. 24.1 CE), en su vertiente de acceso a los recursos, porque el Auto impugnado se funda en un requisito de admisibilidad no exigido por la ley; (ii) la vulneración de su derecho a la tutela judicial efectiva (art. 24.1 CE), en su vertiente de acceso a los recursos,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(iii) la vulneración de su derecho a la igualdad en la aplicación judicial de la Ley (art. 14 CE), pues entienden que se ha aplicado una interpretación jurisprudencial contradictoria con las resoluciones dictadas con anterioridad por el órgano judicial sin ofrecer una justificación razonable y suficiente del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noviembre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las recurrentes reputen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excepcionamiento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persona del recurrente—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Endesa, S.A., y Endesa Generación,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amparo núm. 1644-2012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Considero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los votos particulares formulados a las SSTC 7/2015, de 22 de enero, y 16/2015, de 16 de febrero, a los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abril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