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30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Santiago Martínez-Vares García, don Juan Antonio Xiol Ríos, don Pedro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3814-2012, promovido por la mercantil Josel, S.L., representada por el Procurador de los Tribunales don Antonio Sorribes Calle y asistida por el Abogado don Miguel Andrés Riera, contra el Auto de la Sección Primera de la Sala de lo Contencioso-Administrativo del Tribunal Supremo, de fecha 12 de enero de 2012, que resolvió la inadmisión del recurso de casación núm. 316-2011, interpuesto por la sociedad demandante de amparo, y contra la providencia de fecha 22 de mayo de 2012, que inadmitió el incidente de nulidad de actuaciones interpuesto contra la resolución precedente. Ha comparecido el Abogado del Estado, en la representación que ostenta, y ha intervenido el Ministerio Fiscal. Ha sido Ponente el Magistrado don Pedro González Trevijano-Sánchez,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junio del 2012 tuvo entrada en el Registro General de este Tribunal el escrito presentado por el Procurador de los Tribunales don Antonio Sorribes Calle, actuando en nombre y representación de la mercantil Josel, S.L., y bajo la dirección letrada del Abogado don Miguel Andrés Riera, mediante el cual interpuso recurso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Josel, S.L., entidad que absorbió y sucedió a título universal a Donca, S.A., interpuso recurso contencioso-administrativo contra la resolución del Tribunal Económico-Administrativo Central, de fecha 14 de septiembre de 2007, desestimatoria del recurso de alzada interpuesto contra la resolución del Tribunal Económico-Administrativo Regional de Cataluña, de fecha 6 de octubre de 2005, dictada en la reclamaciones económico-administrativas relativas a las liquidaciones practicadas y sanciones impuestas a Donca, S.A., por los ejercicios 1996 y 1997 del impuesto de sociedades.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Seguido el procedimiento por sus trámites, con el núm. 453-2007, la Sala de lo Contencioso-Administrativo de la Audiencia Nacional (Sección Segunda) dictó, en fecha 16 de diciembre de 2010, Sentencia que estimó parcialmente las pretensiones de la demandante, pues anuló la sanción que le había sido impuesta por ambos ejercicios, pero desestimó las restantes pretensiones ejercitadas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escrito presentado el día 4 de enero de 2011, el Abogado del Estado formuló escrito de preparación del recurso de casación contra la Sentencia recaída en la instancia. No obstante, por escrito de fecha 28 de febrero, que fue presentado ante la Sala Tercera del Tribunal Supremo (Sección Primera), la Abogacía del Estado manifestó que no sostenía el recurso de casación. Por Decreto de la Secretaría del referido órgano, de fecha 23 de marzo de 2011, se declaró desierto el recurso de casación a que se ha hecho mención.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escrito presentado, en fecha 10 de enero de 2011, la sociedad demandante de amparo interesó que se tuviera por preparado recurso de casación contra la Sentencia antes indicada. En dicho escrito puso de manifiesto la intención de interponer recurso de casación y, a su vez, indicó que el recurso iba a fundarse en los motivos previstos en los arts. 88.1 c) y 88.1 d) de la Ley reguladora de la jurisdicción contencioso-administrativa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diligencia de ordenación de fecha 12 de enero de 2011, la Sala de lo Contencioso-Administrativo de la Audiencia Nacional tuvo por preparado los recursos de casación. Asimismo, dicho órgano acordó emplazar a los recurrentes para que comparecieran ante la Sala Tercera del Tribunal Supremo. Una vez recibidas las actuaciones por el órgano ad quem, el día 16 de febrero del 2011 la actora interpuso el recurso de casación ante la Sala Tercera del Tribunal Supremo. El recurso de casación fue registrado con el número 316-2011.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providencia de 25 de abril de 2011, la Sala Tercera del Tribunal Supremo confirió traslado a las partes, a fin que formularan alegaciones sobre la posible concurrencia de la causa de inadmisión, consistente en no haber citado en el escrito de preparación las infracciones normativas o jurisprudenciales que iban a desarrollarse en el escrito de interposición [arts. 88.1, 89.1 y 93.2 a) LJCA], conforme a lo establecido en el ATS de 10 de febrero de 2011, dictado en el recurso de casación 2927-2010.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16 de mayo de 2011 la sociedad demandante evacuó el traslado conferido. En síntesis, la referida entidad manifestó haber preparado el recurso de casación conforme al criterio jurisprudencial establecido con anterioridad al ATS de 10 de febrero de 2011; que no cabe aplicar retroactivamente y de manera sorpresiva el cambio de criterio jurisprudencial relativo a los requisitos del recurso de preparación del recurso de casación, principalmente porque en el momento de la preparación del recurso la recurrente no pudo tener conocimiento de la referida modificación de criterio; que la aplicación retroactiva de las nuevas pautas jurisprudenciales, que no están previstas legalmente, vulneran el principio de seguridad jurídica; y que es manifiestamente desproporcionado exigir el cumplimiento de un requisito formal, en el escrito de preparación del recurso de casación, cuando dicho recurso ya se ha formalizado.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12 de enero de 2012, la Sala Tercera del Tribunal Supremo (Sección Primera) acordó la inadmisión del recurso de casación. La Sala se remitió a la doctrina establecida en ATS de 10 de febrero de 2011, del que transcribió varios de sus fundamentos, y concluyó que no habiéndose citado, en el escrito de preparación del recurso formalizado por la sociedad recurrente, las infracciones normativas o jurisprudenciales que iban a desarrollarse en el escrito de interposición, procedía la inadmisión del recurso de casación. Por otro lado, la Sala consideró de aplicación lo que la doctrina constitucional ha calificado como “mínimo efecto retroactivo”, de manera que el nuevo criterio jurisprudencial resulta extensible a todo supuesto o situación jurídica que tenga ante sí para resolver, con independencia del momento temporal en que se interpuso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fecha 21 de febrero de 2012, la sociedad demandante de amparo promovió incidente de nulidad de actuaciones en el que, con una extensa argumentación, alegó la vulneración del derecho a la igualdad en la aplicación judicial de la ley (art. 14 CE) y del derecho a la tutela judicial efectiva en su vertiente de acceso a los recursos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Por providencia de 22 de mayo de 2012 fue inadmitido el incidente de nulidad de actuaciones promovido contra el Auto de inadmisión del recurso de casación. En esencia, el órgano judicial considera que la demandante se limita a discrepar de las razones tenidas en consideración para inadmitir el recurso de casación, asimilando el incidente de nulidad a un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aduce la vulneración del derecho a la igualdad en la aplicación judicial de la ley (art 14 CE) y del derecho a la tutela judicial efectiva sin indefensión, en su vertiente del acceso a los recursos (art. 24.1 CE). En síntesis, tales vulneraciones se asientan en las siguientes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Resulta arbitrario e irracional aplicar retroactivamente un cambio de criterio jurisprudencial, en relación con los requisitos formales para la admisibilidad del recurso de casación, sobre todo cuando se exige la observancia de las nuevas pautas jurisprudenciales una vez formalizado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aplicación retroactiva de un nuevo requisito de forma, no previsto legalmente e introducido ex novo en virtud de un cambo jurisprudencial, es irracional por vulnerar el principio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nuevo criterio jurisprudencial violenta el tenor de la norma legal, pues exige cumplimentar, en el escrito de preparación del recurso de casación, un requisito que solamente tiene sentido cuando se recurren en casación sentencias dictadas por los Tribunales Superiores de Justicia, con fundamento en la infracción de una norma estatal o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presente caso ha tenido lugar una modificación irreflexiva y arbitraria de un criterio jurisprudencial consolidado, que es contraria al principio de igualdad (art. 14 CE), máxime porque no ha existido modificación de la normativa que justifique tal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fecha 18 de septiembre de 2013, el Magistrado de este Tribunal don Juan José González Rivas solicitó se le tuviera por abstenido en el presente recurso, dada la concurrencia de la causa de abstención prevista en el art. 219.11 de la Ley Orgánica del Poder Judicial (LOPJ), de aplicación supletoria conforme a lo establecido en el art. 80 de la Ley Orgánica del Tribunal Constitucional (LOTC), habida cuenta de que formó parte de la Sección Primera de la Sala Tercera del Tribunal Supremo, órgano este que dictó el Auto de inadmisión de 12 de enero del 2012, del que trae causa el presente recurso de amparo. Por Auto de fecha 19 de septiembre de 2013, la Sección Tercera de este Tribunal resolvió estimar justificada la causa de abstención invocada, apartando definitivamente del conocimiento del presente recurso al referido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10 de octubre de 2013, la Sala Segunda del Tribunal Constitucional acordó admitir a trámite la demanda de amparo. Asimismo, en aplicación de lo dispuesto en el art. 51 LOTC, dispuso dirigir atenta comunicación al Tribunal Supremo y a la Audiencia Nacional a fin de que, en el plazo de diez días, remitieran certificación o fotocopia adverada de las actuaciones correspondientes al recurso de casación núm. 316-2011 y al recurso núm. 453-2007, respectivamente, debiendo previamente emplazarse para que pudieran comparecer en el recurso de amparo, en el término de diez días,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fecha 28 de octubre de 2013, el Abogado del Estado, en la representación que le es propia, solicitó que se le tuviera por personado y parte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 este Tribunal, de fecha 15 de noviembre de 2013, se tuvo por personado y parte al Abogado del Estado, en representación de la Administración del Estado. A tenor de lo dispuesto en el art. 52.1 LOTC, se dio vista de las actuaciones, por un plazo común de veinte días, al Ministerio Fiscal y a las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de fecha 9 de diciembre del 2013, la sociedad demandante formuló sus alegaciones. En esencia, dicha entidad se remite a lo ya manifestado en el escrito de demanda, reiterando las pretensiones interesadas en dicho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 El Abogado del Estado presentó sus alegaciones mediante escrito registrado el día 18 de diciembre de 2013. En síntesis, considera que, a la luz de la doctrina constitucional, el Auto de inadmisión combatido en amparo vulnera el derecho al acceso a los recursos que garantiza el art. 24.1 CE. Para el Abogado del Estado el auténtico problema constitucional que la demanda suscita radica en la aplicación retrospectiva de las nuevas máximas jurisprudenciales plasmadas en el ATS de 10 de febrero de 2011, que la demandante no podía conocer cuando preparó el recurso de casación. En el presente caso, la inadmisión del recurso de casación se sustenta, precisamente, en que no se preparó conforme a las referidas máximas, lo que comporta imponer retroactivamente un novedoso régimen procesal desfavorable a la realización de un acto procesal totalmente concluido. Por tanto, la cuestión principal radica en la irrazonabilidad de una decisión que impone unos requisitos de forma que la parte no tenía posibilidad de conocer ni, por tanto, de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el Abogado del Estado interesa que se dicte Sentencia cuya doctrina refleje que “el derecho fundamental de acceso al recurso garantiza a los justiciables que las nuevas máximas jurisprudenciales que imponen más severos requisitos de forma al escrito de preparación de un recurso de casación —cuyo incumplimiento puede determinar la inadmisión del recurso— no se aplicarán contrariando las exigencias mínimas de confianza legítima de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sus alegaciones mediante escrito registrado el 13 de enero de 2014. Descarta la vulneración del art. 14 CE, dado que la sociedad demandante no ha ofrecido un desarrollo argumental adecuado para justificar la vulneración de la igualdad en la aplicación de la ley. Tal deficiencia aboca al fracaso del motivo, toda vez que no le corresponde al Tribunal Constitucional reconstruir las demandas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rechaza la pretendida vulneración del art. 24.1 CE, pues entiende que la argumentación ofrecida para inadmitir el recurso de casación no incurre en arbitrariedad, falta de razonabilidad o error patente. A mayor abundamiento, añade que el criterio mantenido por el órgano judicial en relación con los requisitos del escrito de preparación del recurso de casación, esto es, la obligación de indicar las concretas infracciones normativas o jurisprudenciales, se desprende del propio tenor de los apartados c) y d) del art. 88 LJCA. Por ello, concluye que el requisito cuyo incumplimiento ha determinado la inadmisión del referido recurso no viene impuesto por la jurisprudencia, sino por la propia normativa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fecha 4 de noviembre de 2014, el Magistrado de este Tribunal don Ricardo Enríquez Sancho solicitó se le tuviera por abstenido en el presente recurso, dada la concurrencia de la causa de abstención prevista en el art. 219.11 LOPJ, de aplicación supletoria conforme a lo establecido en el art. 80 LOTC, habida cuenta de que, a la sazón, formó parte de la Sección Primera de la Sala Tercera del Tribunal Supremo, órgano este que dictó el Auto de inadmisión de 12 de enero de 2012, del que trae causa el presente recurso de amparo. Por Auto de fecha 6 de noviembre de 2014, la Sala Segunda de este Tribunal resolvió estimar justificada la causa de abstención invocada, apartando definitivamente del conocimiento del presente recurso y de todas sus incidencias al referido Magistrado.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17 de marzo de 2015, el Pleno, en su reunión de esa fecha y conforme establece el artículo 10.1 n) de la Ley Orgánica del Tribunal, a propuesta de la Sala Segunda, acuerda recabar para sí el conocimiento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28 de abril de 2015 se señaló para deliberación y fallo de la Sentencia el día 30 del citado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parte demandante de amparo impugna el Auto de la Sección Primera de la Sala de lo Contencioso-Administrativo del Tribunal Supremo de 12 de enero de 2012, que acordó no admitir a trámite el recurso de casación interpuesto contra la Sentencia de la Sala de lo Contencioso-Administrativo de la Audiencia Nacional (Sección Segunda) de 16 de diciembre de 2010, recaída en el procedimiento ordinario núm. 453-2007. También impugna la providencia mediante la que se inadmitió a trámite el incidente de nulidad de actuaciones, de fecha 22 de mayo de 2012, promovido contra el Auto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según se expresa con más detalle en los antecedentes de hecho de esta resolución, imputa a las resoluciones recurridas: (i) la vulneración de su derecho a la tutela judicial efectiva (art. 24.1 CE), en su vertiente de acceso a los recursos, porque el Auto impugnado se funda en un requisito de admisibilidad no exigido por la ley; (ii) la vulneración de su derecho a la tutela judicial efectiva (art. 24.1 CE), en su vertiente de acceso a los recursos, porque la exigencia de anticipar, en el escrito de preparación del recurso de casación, los concretos preceptos o la jurisprudencia que se reputan infringidos se ha aplicado a un supuesto en el que aquella exigencia no era conocida ni predecible a tenor de la jurisprudencia precedente; (iii) la vulneración de su derecho a la igualdad en la aplicación judicial de la ley (art.14 CE), pues entiende que se ha producido una modificación irreflexiva y arbitraria de un criterio jurisprudencial consolidado, sin que se haya producido un cambio de las norma que regula la preparación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problemas planteados en la demanda de amparo han sido ya abordados por este Tribunal en la STC 7/2015, de 22 de enero, en la que hemos tenido la oportunidad de examinar otro supuesto de inadmisión de un recurso de casación, por omitirse en el escrito de preparación la cita de las normas y jurisprudencia que el recurrente reputase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establecida en la referida Sentencia, debe descartarse, en primer lugar, que se haya vulnerado el derecho a la tutela judicial efectiva (art. 24.1 CE) por carecer la decisión judicial de la necesaria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declarado que “corresponde al Tribunal Supremo la última palabra sobre la admisibilidad de los recursos de casación ante él interpuestos, salvo lo dispuesto en materia de garantías constitucionales (art. 123 CE)” (STC 37/1995, de 7 de febrero, FJ 6), por lo que el control constitucional que este Tribunal debe realizar de las resoluciones judiciales dictadas sobre los presupuestos o requisitos de admisión de los recursos tiene carácter externo, siendo, si cabe, más limitado en lo referido al recurso de casación, pues (i) el Tribunal Supremo tiene encomendada la función de interpretar la ley con el valor complementario que atribuye a su jurisprudencia el Código civil y (ii) el recurso de casación tiene, a su vez, naturaleza extraordinaria, de donde se sigue que su régimen procesal es más estricto (SSTC 37/1995,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recordar que el Tribunal Europeo de Derechos Humanos ha señalado que la manera en la que se aplica el art. 6.1 del Convenio a este recurso extraordinario puede depender de particularidades derivadas de la apreciación de conjunto del proceso tramitado y del papel que desempeñe el tribunal de casación, pudiendo las condiciones de admisión de un recurso de casación ser más rigurosas que las propias de un recurso que haya de resolverse en grado de apelación (SSTEDH de 19 de diciembre de 1997, caso Brualla Gómez de la Torre c. España, y de 25 de enero de 2005, caso Puchol Oliver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relevantes son las Sentencias del Tribunal de Estrasburgo recaídas en los casos Sociedad General de Aguas de Barcelona c. España, de 25 de mayo de 2000; Llopis Ruiz c. España, de 7 noviembre 2003, e Ipamark c. España, de 17 de febrero de 2004, que presentan en común juzgar resoluciones en las que nuestro Tribunal Supremo inadmitió recursos de casación por considerar que los recurrentes no habían justificado en sus respectivos escritos procesales que la infracción de normas estatales o comunitarias había sido relevante y determinante del fallo de la Sentencia recurrida. El Tribunal Europeo concluyó con la desestimación de las respectivas demandas, en la medida en que la interpretación que deba darse a los preceptos de la Ley reguladora de la jurisdicción contencioso-administrativa (LJCA) y a las condiciones de su aplicación era una cuestión que dependía de los jueces ordinarios, sin que en estos casos su interpretación pudiera tacharse de arbitraria o irrazonable o de que dificultase la equidad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enmarcada la cuestión, la exigencia de que el escrito de preparación del recurso de casación contenga la cita, siquiera sucinta, de las normas y jurisprudencia que se estimen infringidas, entra dentro de las facultades jurisprudenciales que corresponden al Tribunal Supremo en la interpretación de los requisitos de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Supremo, en el Auto que es objeto de impugnación en el presente recurso, ha afrontado la interpretación del art. 89.1 LJCA (precepto que exige que en el escrito de preparación del recurso de casación se exprese “la intención de interponer el recurso, con sucinta exposición de la concurrencia de los requisitos de forma exigidos”), alcanzando la conclusión de que uno de esos requisitos ha de ser la cita, siquiera sucinta, de las normas y la jurisprudencia que se estimen infringidas, en atención a que la fase de preparación del recurso de casación tiene sustantividad propia, sin que pueda quedar reducida a un trámite carente de trascendencia. Desde esa óptica, en el Auto impugnado se razona que la exigencia de la cita de las normas y jurisprudencia que el recurrente repute infringidas persigue garantizar que la parte recurrida cuente desde un principio con la información necesaria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Tribunal Supremo ha tenido en cuenta la finalidad particular del trámite de preparación en el marco general del recurso de casación y ha orientado la nueva exigencia a la mejor consecución de ese fin. Por ello, puede decirse que el Auto impugnado no sólo constituye un ejercicio legítimo de las facultades interpretativas que el art. 123 CE reserva al Tribunal Supremo, sino que contiene, asimismo, una ponderación suficiente de los fines propios de la norma y de las consecuencias que su aplicación genera en la esfera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 rechazarse, asimismo, que la exigencia del mencionado requisito viole el derecho a la tutela judicial efectiva (art. 24.1 CE), en su vertiente de acceso a los recursos, por haberse exigido al escrito de preparación del recurso de casación un contenido distinto del que el Tribunal Supremo venía contemplando en la fecha en que fue presentado.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comenzar recordando que, repetidamente, este Tribunal ha declarado que la selección de normas aplicables y su interpretación corresponde, en principio, a los Jueces y Tribunales ordinarios en el ejercicio de la función jurisdiccional que con carácter exclusivo les atribuye el art. 117.3 CE. El control de este Tribunal sólo abarcará el examen de si se ha realizado una selección o interpretación arbitraria, manifiestamente irrazonable o fruto de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Tribunal Europeo de Derechos Humanos ha señalado que las exigencias de seguridad jurídica y de protección de la confianza legítima de los litigantes no generan un derecho adquirido a una determinada jurisprudencia, por más que hubiera sido constante (STEDH de 18 de diciembre de 2008, caso Unédic contra Francia, § 74), pues la evolución de la jurisprudencia no es en sí contraria a la correcta administración de justicia, ya que lo contrario impediría cualquier cambio o mejora en la interpretación de las leyes (STEDH de 14 de enero de 2010, caso Atanasovski contra la ex República Yugoslava de Macedonia, § 38).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debemos añadir que en el sistema de civil law en que se desenvuelve la labor jurisprudencial encomendada al Tribunal Supremo español, la jurisprudencia no es, propiamente, fuente del Derecho —las sentencias no crean la norma— por lo que no son miméticamente trasladables las reglas que se proyectan sobre el régimen de aplicación de las leyes. A diferencia del sistema del common law, en el que el precedente actúa como una norma y el overruling, o cambio de precedente, innova el ordenamiento jurídico, con lo que es posible limitar la retroactividad de la decisión judicial, en el Derecho continental los tribunales no están vinculados por la regla del prospective overruling, rigiendo, por el contrario, el retrospective overruling (sin perjuicio de la excepción que, por disposición legal, establezca el efecto exclusivamente prospectivo de la sentencia, como así se prevé en el art. 100.7 LJCA en el recurso de casación en interés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tuvimos ocasión de señalarlo ya en nuestra STC 95/1993, de 22 de marzo, en la que subrayamos que la Sentencia que introduce un cambio jurisprudencia “hace decir a la norma lo que la norma desde un principio decía, sin que pueda entenderse que la jurisprudencia contradictoria anterior haya alterado esa norma, o pueda imponerse como Derecho consuetudinario frente a lo que la norma correctamente entendida dice”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concurren las excepcionales circunstancias apreciadas en el caso resuelto en la STC 7/2015, de 22 de enero, en el que la parte, con notoria diligencia, procedió a complementar el escrito de preparación inicialmente presentado para ajustarlo al nuevo criterio jurisprudencial tan pronto como tuvo conocimiento de ello, conducta procesal que el Tribunal Supremo no ponderó, lesionando así el derecho fundamental reconocido en el art. 24.1 CE. En este caso, sin embargo, la parte no procedió del modo expuesto, ni siquiera después de que le fuera notificada la providencia mediante la que el Tribunal Supremo abría el trámite de alegaciones sobre la posible concurrencia de la causa de inadmisión derivada del defecto 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por lo que se refiere al derecho a la igualdad en la aplicación de la ley (art. 14 CE) y en lo que al presente caso importa, este Tribunal ha reiterado que está vedado a los órganos judiciales el cambio irreflexivo o arbitrario en la aplicación de una norma, lo cual equivale a mantener que, por el contrario, el cambio resulta legítimo cuando es razonado, razonable y con vocación de futuro, esto es, destinado a ser mantenido con cierta continuidad, con fundamento en razones jurídicas objetivas que excluyan todo significado de resolución ad personam o de ruptura ocasional en una línea que se venga manteniendo con normal uniformidad antes de la decisión divergente o se continúe con posterioridad (por todas, SSTC 105/2009, de 4 de mayo, FJ 4, y 178/2014, de 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ello, el Auto del Tribunal Supremo impugnado —lejos de ser una decisión particularizada y adoptada ad hoc por el órgano judicial para resolver ese solo caso o para aplicarlo exclusivamente a la persona del recurrente— constituye la plasmación de un criterio jurisprudencial previamente adoptado con carácter general y con vocación de permanencia para resolver todos los supuestos de las mismas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consideración a lo argumentado en los anteriores fundamentos jurídicos, procede la desestimación del recurso de amparo interpuesto.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mercantil Josel,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Fernando Valdés Dal-Ré y don Juan Antonio Xiol Ríos a la Sentencia dictada en el recurso de amparo avocado núm. 3814-2012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opinión mayoritaria de nuestros compañeros de Pleno en la que se sustenta la Sentencia, manifestamos nuestra discrepancia con la fundamentación jurídica y el fallo de esta. Consideramos que hubiera debido ser estimatoria por vulneración del derecho a la tutela judicial efectiva (art. 24.1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son coincidentes con las que ya fueron expuestas en los votos particulares formulados a las SSTC 7/2015, de 22 de enero, y 16/2015, de 16 de febrero, a los que para evitar reiteraciones innecesarias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treinta de abril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