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117</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julio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Encarnación Roca Trías, don Andrés Ollero Tassara, don Santiago Martínez-Vares García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6011-2014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6011-2014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7 de octubre de 2014, el Procurador de los Tribunales don Alberto Collado Martín, en nombre y representación del Ayuntamiento de Toledo, presentó en el Registro General de este Tribunal demanda de amparo contra el Auto de la Sección Quinta de la Sala Tercera del Tribunal Supremo de 15 de julio de 2014, que desestimó el incidente de nulidad interpuesto contra la Sentencia de la misma Sección de 27 de febrero de 2014, que a su vez desestimó el recurso de casación interpuesto contra la Sentencia de la Sección Primera de la Sala de lo Contencioso-Administrativo del Tribunal Superior de Justicia de Castilla-La Mancha de 26 de julio de 2011, que estimó el recurso formulado frente a la orden de la Consejería de Vivienda y Urbanismo de 26 de marzo de 2007, por el que se aprobaba el plan de ordenación municipal de Toledo.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alega en su demanda de amparo que las resoluciones mencionadas han vulnerado su derecho fundamental a la tutela judicial efectiva y a un proceso con todas las garantías (arts. 24.1 y 24.2 CE), al incurrir en exceso de jurisdicción por inaplicación de las leyes autonómicas vigentes en materia de urbanismo sin el previo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25 de mayo de 2015, la Sala Primera de este Tribunal acordó admitir a trámite la demanda de amparo y ordenar que se formase la presente pieza separada de suspensión, concediendo a la demandante de amparo y al Ministerio Fiscal, conforme a lo dispuesto en el art. 56 de la Ley Orgánica del Tribunal Constitucional (LOTC), plazo común de tres días para formular alegaciones en relación con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que tuvo entrada en este Tribunal el 2 de junio de 2015, el demandante de amparo solicitó que se acordara la suspensión interesada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el demandante que la ejecución de la Sentencia causaría un perjuicio irreparable que haría perder al amparo su finalidad. Afirma que la Sección Primera de la Sala de lo Contencioso-Administrativo de Castilla-La Mancha en el Auto de 18 de marzo de 2015, ha resuelto que hasta que el Tribunal Constitucional se pronuncie procede mantener la suspensión de la ejecución al considerar que “el Plan General de Toledo, su vigencia y aplicación, como tal representa un interés público, económico, social y de terceros”. Argumenta que el incumplimiento del deber de plantear una cuestión de inconstitucionalidad no puede ser recompensado otorgando mayor eficacia a la sentencia incumplidora que al precepto legal desplazado, sin que la suspensión ocasione una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evacuó idéntico trámite mediante escrito registrado en este Tribunal con fecha de 10 de junio de 2015, en el que se oponía a la suspensión solicitada debido a que conforme al art. 56.1 LOTC la interposición del recurso de amparo no suspenderá los efectos del acto o sentencia impugnados, salvo cuando la ejecución del acto o sentencia impugnados produzca un perjuicio al recurrente que pudiera hacer perder al amparo su finalidad, siempre y cuando dicha suspensión no ocasione perturbación grave a un interés constitucionalmente protegido, ni a los derechos fundamentales o libertades de otra persona (art. 56.2 LOTC). Siendo la regla general la improcedencia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el Ministerio Fiscal que es necesario para acordar la suspensión que se cumpla el requisito de que, si ésta no se acordara, la eventual estimación del recurso de amparo sería ya “tardía” y el restablecimiento en el derecho constitucional vulnerado ya no podría ser efectivo sino “meramente ilusorio y nominal”, debiendo además ponderarse el perjuicio que se causa al recurrente como consecuencia de la eficacia de la resolución recurrida y, por otra, el perjuicio, en términos de perturbación grave, a un interés constitucionalmente protegido o a los derechos fundamentales y libertades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refiere a la doctrina del Tribunal Constitucional, según la cual, no procede la suspensión de las resoluciones judiciales con efectos meramente patrimoniales o económicos, al no derivarse de los mismos perjuicios irreparables (ATC 254/2009 de 28 octubre), salvo que el recurrente justificase cumplidamente que el no otorgamiento de la suspensión le ocasionaría un perjuicio irreparable que haría perder al amparo su finalidad. Con cita de la doctrina del Tribunal Constitucional afirma que procederá la suspensión cuando la ejecución comporte perjuicios económicos difícilmente reparables por su entidad o por la irreversibilidad de las situaciones jurídicas que puedan producirse. A ello se añade que es carga del recurrente probar que la ejecución del acto o Sentencia impugnados deba producirle un perjuicio que hiciere perder al amparo su finalidad (ATC 199/2010 de 21 de diciembre,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sus alegaciones afirmando la improcedencia de la suspensión solicitada al tener un contenido patrimonial, que se ciñe a la anulación del plan de ordenación municipal de Toledo, que se declara contrario a derecho, con retroacción de actuaciones de tramitación hasta la fase de nueva información pública. Además, la suspensión de resoluciones judiciales firmes entraña en sí misma una perturbación de la función jurisdiccional, sin que, por otra parte, el recurrente haya cumplido adecuadamente con la carga de acreditar el perjuicio irreparable, pues ni la anulación del plan comporta necesariamente la inminente demolición “de todo cuanto se ha construido”, ni la anulación de infinidad de autorizaciones de usos, determinantes del cese inmediato de actividades y sacrificio de puestos de trabajo, de manera que las manifestaciones sobre los perjuicios que se ocasionarían no vienen acompañadas de elementos cuantitativos o cualitativos —aún como “principio razonable de prueba”— que concreten su existencia, alcance e irreparabilidad.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56.2 de la Ley Orgánica del Tribunal Constitucional (LOTC) que cuando la ejecución del acto o sentencia impugnados produzca un perjuicio al recurrente que pudiese hacer perder al amparo su finalidad, la Sala o, en su caso, la Sección que conozca de un recurso de amparo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En principio, pues, no procede la suspensión de las resoluciones judiciales por la perturbación de la función jurisdiccional que la misma supone, excepto en el caso de que el recurrente acredite suficientemente la irreparabilidad que para sus derechos fundamentales pudiera tener la ejecución y siempre “que la suspensión no ocasione perturbación grave a un interés constitucionalmente protegido, ni a los derechos fundamentales o libertades de otra persona” (art. 56.2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es doctrina reiterada y unánime de este Tribunal, que la previsión contenida ahora en el art. 56.2 LOTC (en la redacción anterior a la reforma de la Ley Orgánica 6/2007 la establecía el art. 56.1 LOTC), que exige como uno de los requisitos para otorgar la suspensión que la ejecución del acto del poder público por razón del cual se reclama el amparo ocasione “un perjuicio al recurrente que pudiera hacer perder al amparo su finalidad”, debe interpretarse “en el sentido de que para que proceda la suspensión es necesario que se cumpla el requisito de que, si ésta no se acordara, la eventual estimación del recurso de amparo sería ya ‘tardía’ y el restablecimiento en el derecho constitucional vulnerado ya no podría ser efectivo sino ‘meramente ilusorio y nominal´” (ATC 125/2003, de 23 de abril, FJ 2, y, en el mismo sentido AATC 20/2009, de 26 de enero, 94/2010, y 95/2010, ambos de 19 de julio, 122/2012, de 18 de junio, entre muchos). Por esta razón este Tribunal no accede, salvo excepciones, a la solicitud de suspensión de resoluciones que imponen obligaciones de pago de cantidad o, en general, de contenido económico o patrimonial, pues la lesión que de ellas se deriva es normalmente reparable (AATC 125/2003, de 23 de abril; 326/2005, de 12 de septiembre; 152/2006, de 8 de mayo; 357/2006, de 9 de octubre; 118/2008, de 28 de abril; 388/2008, de 15 de diciembre; y 20/2009 de 26 de enero; 95/2010, de 19 de julio, y 81/2012, de 7 de mayo,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relación a los perjuicios de carácter patrimonial o económico hemos señalado que, por más que puedan producir efectos desfavorables a quien demanda amparo, no pueden considerarse, en principio, como causa suficiente para acordar la suspensión de una resolución judicial firme (AATC 93/2002, de 3 de junio; 106/2002, de 17 de junio; 165/2003, de 19 de mayo; 326/2005, de 12 de septiembre, y 386/2008, de 15 de diciembre, por todos). Sólo en el caso de que el recurrente en amparo justificase cumplidamente que el no otorgamiento de la suspensión le ocasionaría un perjuicio irreparable que haría perder al amparo su finalidad, (entre otros, ATC 185/2014, de 8 de julio), y siempre que de dicha medida cautelar no se siga perturbación grave de los intereses generales o de los derechos y libertades fundamentales de un tercero, procedería acordar la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También es doctrina constante del Tribunal que para excepcionar la regla general de la no suspensión es carga del recurrente probar que la ejecución del acto o Sentencia impugnados deba producirle un perjuicio que hiciere perder al amparo su finalidad (por todos AATC 39/2008, de 11 de febrero, FJ 1; 40/2008, de 11 de febrero, FJ 3, y 59/2008, de 20 de febrero, FJ 2). Así respecto de la carga alegatoria y probatoria del incidente en ATC 81/2012, de 7 de mayo, FJ 3, con cita de otros, hemos afirmado: “la acreditación del perjuicio es carga del recurrente, quien debe precisar los concretos perjuicios que de la ejecución se deriven, así como justificar o argumentar razonadamente la irreparabilidad de los mismos (AATC 107/1981, 226/1982, 385/1983, y 193/1984). A la par hemos dicho que, en todo caso, el perjuicio irreparable debe ser real, sin que sea posible alegar un perjuicio futuro o hipotético o un simple temor (AATC 490/1984, 399/1985, y 51/1989, entre otros muchos), y que la pérdida de la finalidad del amparo no puede equipararse a la mayor o menor dificultad, molestia o incomodidad para el recurrente, pues debe entenderse como perjuicio irreparable ‘aquel que provoque que el restablecimiento del recurrente en el derecho constitucional vulnerado sea tardío e impida definitivamente que tal restauración sea efectiva’ (ATC 20/1992) y haga ‘devenir inútil el proceso constitucional de amparo’ (AATC 51/1989 y 255/1996)”, y que la pérdida de la finalidad del amparo no puede equipararse a la mayor o menor dificultad, molestia o incomodidad para el recurrente, pues debe entenderse como perjuicio irreparable ‘aquel que provoque que el restablecimiento del recurrente en el derecho constitucional vulnerado sea tardío e impida definitivamente que tal restauración sea efectiva’ (ATC 20/1992) y haga ‘devenir inútil el proceso constitucional de amparo’ (AATC 51/1989 y 255/1996)”.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presente caso, del examen de la solicitud de suspensión formulada cabe concluir que no se han acreditado circunstancias excepcionales que lleven a conceder la suspensión pedida. En efecto, como bien indica el Ministerio Fiscal, la suspensión que se solicita tiene un contenido patrimonial, que se circunscribe a la anulación del plan de ordenación municipal de Toledo, con retroacción de actuaciones de tramitación hasta la fase de nueva información pública. Ahora bien, dicho pronunciamiento no comporta como afirma el recurrente “la demolición de todo cuanto se ha construido”, ni tal consecuencia resulta acreditada por el documento núm. 6 al que alude el demandante y que se acompaña con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insistirse en que el perjuicio irreparable debe ser real, sin que sea posible alegar un perjuicio futuro o hipotético. No basta con afirmaciones genéricas relativas a que la ejecución comportará “una verdadera catástrofe de consecuencias incalculables no solo en pérdidas económicas o patrimoniales, incluyendo demoliciones de lo construido con arreglo al Plan y anulación de infinidad de autorizaciones de usos, sino computables también en el número de puestos de trabajo que puede quedar sacrificados”, sino que se deben precisar los concretos perjuicios que de la ejecución se derivaran. Carga probatoria que la Administración recurrente no aporta, al omitir datos concretos que puedan ser calificados de principio razonable de prueba y que permitan avalar lo manifestado, sino que se limita a efectuar una afirmación genérica e inconcreta carente de la necesaria acreditación. En tal sentido, como indica el Ministerio Fiscal, ni la anulación del plan comporta necesariamente la inminente demolición de todo cuanto se ha construido, ni supone la anulación de infinidad de autorizaciones de usos, determinantes del cese inmediato de actividades y sacrificio de puestos de trabajo.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la ausencia actual de las circunstancias excepcionales que llevan a conceder la suspensión pedida, esto es, la falta de acreditación de un perjuicio irreparable, real y concreto, no es óbice para que en un momento posterior durante el curso del procedimiento de amparo, el recurrente pueda plantear de nuevo ante este Tribunal la procedencia de la suspensión, “en virtud de circunstancias sobrevenidas o que no pudieron ser conocidas al tiempo de sustanciarse el incidente de suspensión” (ex art. 57 LOTC), que satisfagan el presupuesto exigido.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julio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