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2937-2015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2937-2015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medida cautelar de suspensión acordada en la presente pieza por la providencia de 25 de mayo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mayo de 2015, doña Desiré Vicente Díaz, representada por la Procuradora de los Tribunales doña Celia Fernández Redondo y asistida por el Letrado don Juan Ramón Montero Estévez, interpuso recurso de amparo contra el Auto de 31 de marzo de 2015 dictado por la Sección Vigesimosegunda de la Audiencia Provincial de Madrid, en recurso de apelación 960-2014 que, revocando el Auto de 15 de abril de 2014, dictado por el Juzgado de Violencia sobre la mujer núm. 11 de Madrid al acordar la guarda y custodia de la menor a favor de la madre, ordenaba la restitución de la menor a Suiza, bajo la custodia del padre, así como contra la providencia de fecha 21 de mayo siguiente, que acordó la inadmisión del incidente de nulidad de actuaciones. En la demanda de amparo solicita que se dicte sentencia declarando que se han vulnerado los derechos de la recurrente a la tutela judicial efectiva y a un proceso con todas las garantías, y que se anulen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en el escrito de demanda, y de conformidad a lo dispuesto en el art. 56 de la Ley Orgánica del Tribunal Constitucional (LOTC), la recurrente solicitó la suspensión urgente de la resolución impugnada. Alegaba que debía suspenderse la ejecución inmediata de la entrega de la menor por cuanto que el recurso perdería su finalidad legítima y los perjuicios serían absolutamente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la Sala Segunda de este Tribunal, acordó la admisión a trámite de la demanda de amparo por providencia de fecha 25 de mayo de 2015, así como la suspensión cautelar de las resoluciones impugnadas al apreciar la urgencia excepcional a que se refiere el art. 56.6 LOTC, toda vez que dicha ejecución produciría un perjuicio de imposible o muy difícil reparación que haría perder su finalidad al amparo. Asimismo, acordó formar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presentó escrito de alegaciones en fecha 10 de junio de 2015 en el que interesa la suspensión de la resolución recurrida en la demanda de amparo, alegando en síntesis que estando en discusión en la instancia judicial cuál sea el lugar en que debe residir la menor, sobre la que ambos progenitores tienen reconocida su custodia por los Tribunales de los países de los que son nacionales respectivamente y, encontrándose la menor en España desde el año 2013, donde fue traída por la madre sin oposición del padre para realizar el viaje, es patente que si se ejecuta la resolución resultaría imposible o extraordinariamente complejo lograr el retorno de la menor si se estimase el recurso, conclusión que es coincidente desde la perspectiva de los intereses de la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no presentó alegaciones en la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fecha 11 de junio de 2015 se tuvo por personada a la Procuradora doña Margarita López Jiménez, en nombre y representación de don Philippe Kitsos, concediéndose el plazo de tres días para que alegara lo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19 de junio de 2015, la representación de don Philippe Kitsos formuló escrito de alegaciones en el que se oponía a la suspensión, alegando en síntesis que no existe perjuicio para la menor por su traslado a Suiza y que, por el contrario, sí resultan afectados sus intereses de permanecer en España al verse privada de la relación con su padre. Aduce asimismo que la madre está incumpliendo la legalidad, a la vez que el demandado está amparado por el Convenio de La Haya de 25 de octubre de 1980 sobre aspectos civiles de la sustracción internacional de menores.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56.6 de la Ley Orgánica del Tribunal Constitucional (LOTC) atribuye a las Salas y Secciones de este Tribunal la facultad de adoptar, en la propia resolución de admisión a trámite de los recursos de amparo, medidas cautelares inaudita parte, en supuestos de urgencia excepcional. En el ejercicio de tal facultad, mediante la providencia de 25 de mayo de 2015 se acordó suspender la ejecución de las resoluciones impugnadas al apreciar una urgencia excepcional por ser inminente el traslado de la menor a Suiza y apreciar que la materialización del mismo produciría un perjuicio de imposible o muy difícil reparación que podría hacer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la concurrencia de una urgencia excepcional que autoriza a este Tribunal a adoptar medidas cautelares sin oír a las partes y a hacerlo con una motivación sucinta —al acordarse en la propia providencia de admisión a trámite del recurso de amparo— obliga a dictar una nueva resolución motivada en la que, tras oír a las partes, se expresen las razones que lleven al Tribunal a mantener, modificar o levantar la medida inicialmente acordada ( AATC 213/2009, de 9 de julio, FJ 2; y 174/2013, de 9 de septiembre,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oído ya 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del art. 56.2 LOTC, este Tribunal ha venido entendiendo que la suspensión se configura como una medida provisional de carácter excepcional y de aplicación restrictiva, dado el interés general en la efectividad de las decisiones de los poderes públicos, lo cual significa que se ha de apreciar la pérdida de la finalidad del recurso de amparo para que aquélla deba adoptarse necesariamente. El mismo art. 56.2 LOTC remite a un juicio motivado de ponderación en el que hay que confrontar, de un lado, el perjuicio que se causa al recurrente como consecuencia de la eficacia de la resolución recurrida y, de otro, el perjuicio que causa al interés público o a terceros la suspensión de la ejecución de aquélla (por todos, ATC 27/2015, de 16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debemos tener en cuenta que resultan afectados los intereses de una menor, que se encuentra en España desde el año 2013 donde fue traída por su madre sin oposición del padre para realizar el viaje de vacaciones en España, y sobre cuya custodia existe un conflicto entre los progenitores, que es la controversia sobre la que versa la cuestión de fondo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sede cautelar, y al estar en juego el interés de la menor, para decidir acerca del otorgamiento o denegación de la suspensión instada debe realizarse una ponderación extremadamente cuidadosa y subordinada en todo caso a la protección jurídica de la persona y de los derechos de personalidad de la menor afectada (AATC 108/2005, de 14 de marzo, FJ 1; y 83/2014, de 24 de marzo,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punto, entiende el Tribunal que debe mantenerse la suspensión acordada para procurar, en su caso, una más adecuada efectividad de la Sentencia que resuelva el fondo del asunto, al tiempo que se preserva la estabilidad emocional de la menor, que se encuentra residiendo en España desde el año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y sin prejuzgar la resolución de fondo, en este momento procesal se aprecia un periculum que conduce a mantener la suspensión acordada hasta la resolución de este recurso, en coherencia con lo manifestado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medida cautelar de suspensión acordada en la presente pieza por la providencia de 25 de mayo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