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2870-2013, promovido por el Grupo Parlamentario Socialista (PSOE-Regionalistas) en la Asamblea de Extremadura y por su Portavoz, don Valentín García Gómez, representados por la Procuradora de los Tribunales doña Virginia Aragón Segura, contra el acuerdo de la Mesa de la Asamblea de Extremadura de 5 de marzo de 2013 (MA126/Al/13-VIII), por el que se desestima el recurso de reconsideración frente al acuerdo de la Mesa de 27 de febrero de ese mismo año (MA124/Al/13-VIII), que inadmitió a trámite la propuesta de Ley (PRL-11) “de defensa de la Sanidad Pública, por la que se modifica la Ley 10/2001, de 28 de junio, de Salud de Extremadura”. Han comparecido la Asamblea de Extremadura, a través de sus representantes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14 de mayo de 2013, la Procuradora de los Tribunales doña Virginia Aragón Segura, en nombre y representación del Grupo Parlamentario Socialista (PSOE-Regionalistas) en la Asamblea de Extremadura y de su portavoz, don Valentín García Gómez, interpuso recurso de amparo contra los acuerdos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febrero de 2013, el Grupo Parlamentario Socialista (PSOE-Regionalistas) de la Asamblea de Extremadura presentó en el registro de dicha Cámara “Propuesta de Ley de Defensa de la Sanidad Pública, por la que se modifica la Ley 10/2001, de 28 de junio, de Salud de Extremadura”, al amparo de lo dispuesto en el art. 161 y concordantes del Reglamento de la Asamblea de Extremadura y cumpliendo los requisitos formales que en ellos se exigen.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texto articulado se componía de un artículo único, por el cual se venía a introducir una nueva disposición adicional séptima en la Ley 10/2001, de 28 de junio, de salud de Extremadura. En esencia, dicho artículo suponía la exigencia de un plan estratégico previo a la utilización por la Administración de la Comunidad Autónoma de Extremadura de cualquier forma de gestión prevista en el art. 1.2 de la Ley 15/1997, de 25 de abril, sobre habilitación de nuevas formas de gestión del Sistema nacional de salud. El plan debía ser elaborado por la Administración y aprobado por Ley de la Asamblea de Extremadura por mayoría absoluta, previo informe del Consejo Extremeño de Salud y tras ser sometido a información pública por un plazo mínimo de tres meses. Toda forma contractual suscrita en los términos establecidos en el citado art. 1.2 de la Ley 15/1997 que no estuviera expresamente prevista en su plan estratégico aprobado por Ley de la Asamblea de Extremadura sería nula y no desplegaría efecto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autonómica, en sesión de 13 de febrero de 2013, en el trámite previsto en el art. 162 del Reglamento de la Asamblea de Extremadura, de calificación y admisión a trámite de la iniciativa, acordó —con el voto en contra del Vicepresidente Segundo y de la Secretaria Segunda— posponer la admisión a trámite de la propuesta “hasta tanto se cuente con un Informe Jurídico sobre la adecuación de su contenido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reunión de la Mesa de la Asamblea de 25 de febrero de 2013, se acordó —“a la vista del Informe elevado por el Letrado Mayor”— posponer nuevamente el trámite de calificación y admisión a trámite a efectos de dar traslado de la misma a la Junta de portavoces, para audiencia, de conformidad con lo previsto en el art. 49.3 c) del Reglamento de la Asamblea de Extremadura, con carácter previo a la adopción del acuerdo definitivo sobre la cuestión. Una vez oída la Junta de Portavoces, el día 27 de febrero de 2013, se acordó no admitir a trámite la propuesta de Ley formulada por el Grupo Parlamentario Socialista. Dado que, a esa fecha, este grupo parlamentario no había recibido el informe del Letrado Mayor, su portavoz interesó de su redactor que en el acta de la sesión de la Junta de Portavoces celebrada el 27 de febrero de 2013 se transcribiera íntegramente el informe jurídico leído por el Letrado Mayor en el transcurso de aquella, solicitando que se les hiciera llegar copia literal del mismo. En dicho informe, el Letrado pone de manifiesto la libertad con la que cuenta la Mesa de la Cámara para comprobar que las iniciativas legislativas se ajustan a los requisitos formales exigidos reglamentariamente, así como para inadmitirlas cuando tengan un contenido manifiestamente contrario a Derecho. A este último respecto, analiza el Letrado Mayor el contenido de la propuesta de Ley, llegando a la conclusión de que podía incardinarse en el supuesto establecido en el art.49.3 c) del Reglamento de la Asamblea de Extremadura, que exigía la solicitud del informe jurídico a los servicios de la Cámara cuando se susciten “dudas en relación con las competencias de la Comunidad Autónoma en la materia, por otorgar al poder legislativo competencias que en la ley básica estatal se otorgan al poder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 de marzo de 2013, en tiempo y forma previstos en el art. 49.4 del Reglamento de la Asamblea de Extremadura, el portavoz del Grupo Parlamentario Socialista presentó recurso de reconsideración, invocando expresamente la vulneración del derecho fundamental contenido en el art. 23 CE, así como las competencias exclusivas de la Comunidad Autónoma de Extremadura en materia de planificación y promoción de la salud y de desarrollo normativo y ejecución en materia de sanidad y salud pública, al amparo de los arts. 9.1.24 y 10.1.9 del Estatuto de Autonomía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preceptiva audiencia de la Junta de Portavoces y, “a la vista del Dictamen evacuado por los servicios jurídicos”, se desestimó el recurso de reconsideración, poniendo de manifiesto que el empate que se había producido en el seno de la Mesa se dirimió mediante el voto de calidad del Presidente de la Cámara, en aplicación de lo previsto en el art. 44 del Reglamento de la Asamblea de Extremadura. El acuerdo se publica en el “Boletín Oficial de la Asamblea de Extremadura” el 7 de marzo de 2013, alcanzando el carácter de firme, ya que contra el mismo no cabe recurso alguno en la vía parlamentaria o en la jurisdiccional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14 de mayo de 2013 se presentó, en nombre del Grupo Parlamentario Socialista en la Asamblea de Extremadura y de su portavoz, recurso ante este Tribunal, impugnándose el acuerdo de la Mesa de la Asamblea de Extremadura de 5 de marzo de 2013, por el que se desestima el recurso de reconsideración frente al acuerdo de la Mesa de 27 de febrero de ese mismo año, por el que se inadmitió a trámite la propuesta de Ley formulada por aquel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el mismo la vulneración del derecho de los cargos públicos libremente elegidos a ser mantenidos en su cargo y a desempeñarlo de conformidad con lo que la Ley disponga, así como el derecho de los ciudadanos a participar en los asuntos públicos a través de sus representantes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fundamentar su alegación, la parte recurrente se refiere, en primer lugar, a la doctrina constitucional en la materia (entre otras, SSTC 124/1995, 38/1999 y 88/2012), extrayendo de ella la necesidad de que los representantes políticos puedan desempeñar sus funciones de conformidad con la ley sin más límites ni trabas que los que esta establece. A ello se añade que la interpretación de los requisitos exigidos para la realización de tal actividad no puede ser restrictiva, sino siempre la más favorable a su ejercicio, pues de lo contrario podría quedar vacío de contenido el derecho de los ciudadanos a participar en los asuntos públicos a través de sus representantes políticos. Concretamente, en lo que se refiere a la proposición de iniciativas legislativas, se admite que la Mesa, en el ejercicio de sus funciones de calificación de los escritos presentados por los distintos grupos parlamentarios o los diputados, goza de una función de verificación “liminar” de la conformidad a Derecho de la pretensión deducida, que va más allá de la calificación formal de la propuesta. Pero, al mismo tiempo, se considera que ese análisis liminar no puede en modo alguno servir de base y justificación a la vulneración de derechos fundamentales ni hacerse extensible a un juicio de inconstitucionalidad que vaya más allá de la apreciación de una grosera confrontación con las normas que se incluyen en el bloque de constitucionalidad y en la propia Constitución. De otro modo —se afirma—, la labor de calificación de la Mesa se convertiría en un juicio sobre la constitucionalidad de toda propuesta presentada, sustrayendo ese enjuiciamiento, en primer término al debate parlamentario y, finalmente, a la competencia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 jurisprudencia reseñada, se denuncia un exceso por parte de la Mesa de la Cámara en el ejercicio de sus funciones. El Reglamento de la Cámara atribuye a la Mesa en su artículo 49.1 la función de “verificar que las iniciativas se corresponden con las previstas expresamente en el Reglamento y que cumplen los requisitos formales y de legitimación exigidos” y ello sin perjuicio, como señala el artículo 49.3 c), de que “antes de decidir sobre la calificación y posterior admisión a trámite, oirá a la Junta de Protavoces … c) cuando se susciten dudas en relación con las competencias de la Comunidad Autónoma en la materia”. Pero dichas competencias generales han de interpretarse a la luz de lo dispuesto en el art. 162 del Reglamento de la Asamblea de Extremadura, que dispone simplemente que, una vez recibida la propuesta de Ley, cumplidos los requisitos formales y de legitimación —como fue el caso— previstos en el art. 161 del Reglamento de la Asamblea de Extremadura, la Mesa la calificará y admitirá a trámite para, acto seguido, ordenar su remisión a la Junta de Extremadura para que por esta se manifieste su conformidad o no a la tramitación, si implicara aumento de los créditos o disminución de los ingresos presupuestarios y su publicación en el “Boletín Oficial de la Cámara” y en la página web del Parlamento a efectos informativos. En definitiva, se considera que la Mesa, de acuerdo con lo dispuesto en los arts. 161 y 162 del Reglamento de la Asamblea de Extremadura, sólo tiene competencia, en relación con las propuestas de ley, para comprobar la concurrencia de los requisitos formales y subjetivos y no para examinar el fondo de las mismas, como ocurrió en este caso. Únicamente si se tratara de un despropósito jurídico (como sería, por ejemplo, proponer una ley autonómica de secesión de un territorio, una regulación autonómica de las fuerzas armadas o de atribución de funciones jurisdiccionales al Letrado Mayor de la Asamblea) podría admitirse un rechazo de la propuesta por parte de la Mesa basándose en cuestiones materiales. En el presente supuesto, en cambio, la inadmisión se basó supuestamente en un informe del Letrado Mayor que lo que expone son, simplemente, dudas acerca de la constitucionalidad de la propuesta, sin alcanzar siquiera un pronunciamiento rotundo, expreso y sin vacilaciones en orden a su inadecuación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Entienden también los recurrentes que los acuerdos impugnados no cumplirían con el deber de motivación que, conforme a la doctrina constitucional (se cita la STC 44/2010), habría resultado exigible a la Mesa. Estos, al parecer, se fundamentaron en el informe del Letrado Mayor de 25 de febrero de 2013 (aunque no fue notificado al grupo parlamentario recurrente —y a requerimiento expreso de este— hasta el día 28 de febrero, un día después de la publicación del primer acuerdo adoptado por la Mesa). Pero, la única referencia que en el acuerdo de inadmisión, de fecha 27 de febrero de 2013, se realiza al citado informe se halla en los antecedentes, para justificar el trámite de audiencia a la Junta de portavoces, pero sin que se incorporase su contenido siquiera por remisión para motivar el acuerdo de inadmisión. Por su parte, el acuerdo desestimatorio del recurso de reconsideración se limita a utilizar la expresión “a la vista del Dictamen evacuado por los servicios jurídicos…”, sin entrar a valorar las alegaciones de los recurrentes respecto al informe del Letrado Mayor formuladas en el escrito de reconsideración. En cualquier caso, entiende el grupo parlamentario recurrente que la decisión mayoritaria de la Mesa se tomó, en realidad, sin tener en cuenta el citado informe, pues las “dudas” sobre la constitucionalidad material de la propuesta fueron expresadas por el Presidente desde el primer momento, en el que se tomó la decisión de posponer su tramitación, aunque no se concretó en qué consistían dichas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Llaman la atención los recurrentes sobre el hecho de que, en situaciones precedentes cercanas en el tiempo, se presentaron por el Gobierno regional proyectos de ley en los que se aportaba informe del Consejo Consultivo de Extremadura desfavorable a su aprobación, en los que se ponían de manifiesto tachas de inconstitucionalidad bien fundadas. Sin embargo, en estos supuestos, la Mesa no apreció impedimento alguno, al amparo de lo dispuesto en el art. 49.3 c) del Reglamento de la Asamblea de Extremadura, en orden a admitir a trámite el proyecto en cuestión. Y ello, sin necesidad de solicitar ningún informe al Letrado Mayor o de suspender la tramitación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se quiere poner de manifiesto que el informe del Letrado Mayor no fue la causa de la decisión de la Mesa, sino, más bien, sirvió de excusa o revestimiento de una decisión política preconcebida, alejada de las funciones estrictamente técnicas de dicho órgano parlamentario. Si no es la causa, mucho menos puede servirle de fundamento, por lo que los acuerdos adoptados se reputan inmotivados, vulnerando el art. 23.2, en relación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del grupo recurrente, entra, seguidamente, a analizar el contenido de la propuesta de Ley rechazada. Al respecto, se pone de manifiesto que la propuesta de Ley se circunscribe al ámbito de lo dispuesto en el apartado segundo del artículo único de la Ley estatal 15/1997, que se refiere a la gestión indirecta privada (y no al apartado primero, como se señala en el informe del Letrado Mayor, que se refiere a la gestión pública de la atención sanitaria y respecto de la cual, la ley se remite al Gobierno y a los ejecutivos de las Comunidades Autónomas, en el ámbito de sus respectivas competencias, para que determinen sus condiciones). Según este apartado segundo, la prestación y gestión de los servicios sanitarios y sociosanitarios podrá llevarse a cabo, además de con medios propios, mediante acuerdos, convenios o contratos con personas o entidades públicas o privadas, en los términos previstos en la Ley general de sanidad. A diferencia de lo que ocurre en el apartado primero, que se remite a la competencia del Gobierno de la Nación y de los ejecutivos autonómicos, del apartado segundo no se desprende limitación alguna en este sentido, salvo la remisión a la Ley general de sanidad. En el caso de Extremadura, la Ley de salud de Extremadura puede fijar otros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asimismo, el carácter de normativa básica de la Ley 15/1997, pues no cumple con los requisitos formales que el Tribunal Constitucional ha impuesto a ese tipo de normas, que determinan la exigencia de que declaren expresamente el alcance de lo básico o que, en su defecto, estén dotadas de una estructura que permita inferir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sorprende a los recurrentes que si la causa de la inadmisión de la propuesta fue una “duda competencial”, no se haga ninguna mención a algún precepto estatutario o del bloque de la constitucionalidad. Además, no puede olvidarse —señalan— que la propuesta tenía por objeto la modificación de una ley preexistente, aprobada por la misma Asamblea cuya Mesa se niega a tramitar una modificación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abonaría la tesis de que la decisión de la Mesa fue arbitraria, ilegítima e inadecuada, cercenando el derecho del grupo parlamentario y el Diputado recurrentes al desempeño de sus cargos públicos en condiciones de igualdad y de acuerdo con lo establecido en las leyes y, en íntima conexión, el derecho de los ciudadanos a participar en los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2015, la Sala Primera de este Tribunal acordó admitir a trámite la demanda, apreciando que concurre en la misma una especial trascendencia constitucional (art. 50.1 de la Ley Orgánica del Tribunal Constitucional: LOTC), al trascender del caso concreto por sus posibles consecuencias políticas generales [STC 155/2009, FJ 2 g)]. En aplicación de lo dispuesto en el art. 51 LOTC, se ordenó dirigir atenta comunicación al Presidente de la Asamblea de Extremadura a fin de que, en un plazo no superior a diez días, remitiese certificación o fotocopia adverada de las actuaciones correspondientes al expediente administrativo relativo a los acuerdos de la Mesa de dicha Asamblea núms. MA124/A1/13-VIII y MA126/A1/13-VIII, acompañándose a la mencionada comunicación copia de la demanda para conocimiento de la Mesa de la Asamblea de Extremadura,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tres de noviembre de 2015, se tuvo por personada y parte en la representación que ostenta a la Letrada Mayor de dicha Asamblea; y, a tenor de lo dispuesto en el art. 52 LOTC, se dio vista de las actuaciones por un plazo común de veinte días al Ministerio Fiscal y a las partes personadas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Asamblea de Extremadura, mediante escrito registrado el 4 de diciembre de 2015, presentó las alegaciones formuladas por dicha Asamblea solicitando la desestimación de la demanda de amparo. Tras exponer los antecedentes que dieron lugar al recurso por parte del Grupo Parlamentario Socialista, se afirma que la Mesa de la Asamblea regional “actuó en uso de las competencias que el ordenamiento jurídico le atribuía, dándose por reproducidos en este trámite los argumentos que en su día sirvieron al referido órgano para adoptar los acuerdos ahora recurridos en amparo, con base en los informes jurídicos que obran en el expediente remitido a la Sala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11 de diciembre de 2015, solicitando que se dicte sentencia en la que se otorgue el amparo. Comienza los fundamentos jurídicos de su escrito descartando que pueda existir problema alguno de legitimación por parte de los recurrentes, al ser estos tanto el portavoz del Grupo Parlamentario Socialista en la Asamblea de Extremadura, como este mismo. A continuación, pasa a resumir la doctrina constitucional en materia de facultades de control de la Mesa en relación con las distintas iniciativas parlamentarias que se presenten y, en particular, en el específico caso de las proposiciones de Ley, tras de lo cual, analiza si el acuerdo de la Mesa de la Asamblea de 27 de febrero de 2013 —por el que se resolvió inadmitir a trámite la “Propuesta de Ley de defensa de la Sanidad Pública, por la que se modifica la Ley 10/2001, de 28 de junio, de Salud de Extremadura” formulada por el Grupo Parlamentario Socialista— cumplió con el deber de motivación que, conforme a la doctrina constitucional (se cita, en concreto, la STC 44/2010), habría resultado exigible a la Mesa. En este sentido, señala el Fiscal que dicho acuerdo se basó, en último extremo, en las argumentaciones contenidas en el informe del Letrado Mayor de fecha 25 de febrero de 2013. Y dicho informe, en rigor, únicamente vino a sostener que la propuesta de Ley que se estaba considerando podía estar incardinada dentro del supuesto establecido en el art. 49.3 c) del Reglamento de la Asamblea de Extremadura —que se suscitaran dudas en relación con las competencias de la Comunidad Autónoma en la materia—, lo que obligaba a la Mesa, antes de decidir sobre la calificación y posterior admisión a trámite, a oír a la Junta de Portavoces. Dicho dictamen, sin embargo, no resolvió categóricamente las dudas de constitucionalidad que, de acuerdo con el mismo, concurrían en la propuesta de Ley, ni dictaminó nada acerca de la conveniencia de inadmitirla debido a su posible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el Fiscal, el informe del Letrado Mayor de fecha 25 de febrero de 2013 ni daba ni podía dar cobertura suficiente a la decisión de inadmisión de la Mesa de la Asamblea. Además, pone de relieve que la Mesa de la Asamblea tampoco dio una motivación propia y distinta a su acuerdo A124/Al/13-VIII. Por ello, entiende que la inadmisión de esa iniciativa parlamentaria careció pura y simplemente de cualquier motivación. De esta manera, la Mesa habría infringido la doctrina constitucional en la materia, vulnerando el derecho de los recurrentes a ejercer su cargo representativo en condiciones de igualdad (art. 23.2 CE) y, consecuentemente, el derecho de los ciudadanos a verse representados y a participar a través de sus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Ministerio público que no corresponde a este Tribunal pronunciarse en relación con la supuesta inconstitucionalidad de la proposición de Ley presentada, pues lo contrario supondría convertir al recurso de amparo en una especie de recurso previo de inconstitucionalidad, así como suplantar al Pleno de la Cámara extremeña, que podría rechazarla por esa u otra razón o, por el contrario, decidir, pese a ello, su toma en consideración y depurarla de eventuales vicios de inconstitucionalidad a lo largo de las distintas fases que integran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Fiscal —siguiendo lo dispuesto en la STC 124/1995— que habiéndose constatado que la Mesa de la Cámara inadmitió la referida proposición de Ley, cuando la misma cumplía con todas las formalidades reglamentariamente establecidas, mediante un pretendido juicio de constitucionalidad acerca de sus contenidos, la presente demanda de amparo debe ser estimada. Porque, con tal proceder, la Mesa se extralimitó en sus funciones reglamentarias de calificación y admisión a trámite de documentos parlamentarios que, cuando de proposiciones de Ley de origen parlamentario se trata, se circunscriben exclusivamente a un control de constatación formal y no del contenido de aquellas, vulnerando, así,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alcance del fallo estimatorio, recuerda que ha de tenerse en cuenta que la adopción de los acuerdos impugnados ha tenido lugar en una legislatura ya finalizada, por lo que no es posible adoptar medida alguna de restablecimiento en el disfrute del derecho vulnerado, dirigida a órganos de una legislatura fenecida, motivo por el cual —considera el Fiscal— se ha de optar por satisfacer, en la medida de lo posible, la pretensión de los demandantes de amparo mediante la declaración de la lesión del derecho de los recurrentes conforme a lo establecido en el art. 23.2 CE y la nulidad de los acuerdos que impidieron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enero de 2016 se señaló para la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los antecedentes de esta Sentencia, el recurso de amparo se dirige contra el acuerdo de la Mesa de la Asamblea de Extremadura de 5 de marzo de 2013, por el que se desestima el recurso de reconsideración frente al acuerdo de la Mesa de 27 de febrero de ese mismo año, que inadmitió a trámite la “Propuesta de Ley de defensa de la Sanidad Pública, por la que se modifica la Ley 10/2001, de 28 de junio, de Salud de Extremadura”, presentada por el Grupo Parlamentario Socialista (PSOE-Regionalistas), hoy recurrente en amparo. Con dicha propuesta, se venía a introducir una nueva disposición adicional séptima en la Ley 10/2001, de 28 de junio, de salud de Extremadura, que venía a suponer la exigencia de un plan estratégico previo a la utilización por la Administración de la Comunidad Autónoma de Extremadura de cualquier forma de gestión prevista en el art. 1.2 de la Ley 15/1997, de 25 de abril, sobre habilitación de nuevas formas de gestión del Sistema nacional de salud (es decir, de las formas de gestión indirecta privada de la atención sanitaria, que son a las que se refiere dicho artículo). El plan debía ser elaborado por la Administración y aprobado por Ley de la Asamblea de Extremadura por mayoría absoluta, previo informe del Consejo Extremeño de Salud y tras ser sometido a información pública por un plazo mínimo de tres meses. Toda forma contractual suscrita en los términos establecidos en el citado art. 1.2 de la Ley 15/1997 que no estuviera expresamente prevista en su plan estratégico aprobado por Ley de la Asamblea de Extremadura sería nula y no desplegaría efecto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denuncian que los acuerdos impugnados vulneran su derecho a acceder en condiciones de igualdad a las funciones y cargos públicos según lo dispuesto en el art. 23.2 CE, en relación con el derecho de los ciudadanos a participar en los asuntos públicos a través de sus representantes, previsto en el art. 23.1 CE, de acuerdo con las alegaciones que se han resumido también en el apartado dedicado a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Extremadura, por su parte, considera que la Mesa actuó en ejercicio de las funciones que el ordenamiento parlamentario le atribuía —remitiéndose a los argumentos que en su día sirvieron al referido órgano para adoptar los acuerdos ahora recurridos en amparo—, por lo que solicita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—según se ha dado cuenta igualmente en los antecedentes— interesa que se dicte sentencia estimando el recurso de amparo y declarando la nulidad de los acuerdos impugnados, por haber vulnerado los derechos de los recurrentes a ejercer en condiciones de igualdad el cargo público representativo reconocido en el art. 23.2 CE y, con ello,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fondo, ha de destacarse que el Reglamento de la Asamblea de Extremadura ha sido reformado por el Pleno de la Cámara en sesión celebrada el día 19 de marzo de 2015, habiendo afectado dicha reforma a los preceptos reglamentarios que resultan de aplicación aquí. Dado que los hechos a enjuiciar tuvieron lugar bajo la vigencia del Reglamento aprobado en sesión plenaria el día 19 de junio de 2008, será a este último al que haremos siempre alusión (refiriéndonos a él como Reglamento de la Asamblea de Extremadura 2008). En concreto, tres son los artículos que presentan mayor relevancia en el caso enjuiciado. En primer lugar, el artículo 48, que otorgaba a la Mesa de la Cámara la función de “calificar y admitir a trámite las iniciativas parlamentarias en los términos previstos por este Reglamento”. De otra parte, el artículo 49, en cuyo apartado primero se señalaba que “en el trámite de calificación, la Mesa verificará que las iniciativas se corresponden con las previstas expresamente en el reglamento y cumplen con los requisitos formales y de legitimación exigidos” y, en su apartado tercero, se establecía que, “sin perjuicio de lo establecido en el párrafo primero, la Mesa, antes de decidir sobre la calificación y posterior admisión a trámite, oirá a la Junta de Portavoces”, entre otros casos, “cuando se susciten dudas en relación con las competencias de la Comunidad Autónoma en la materia” [apartado c)]. Y, por último, el artículo 162.1, el cual, respecto a las iniciativas legislativas en concreto, señala que “la Mesa calificará la iniciativa legislativa y la admitirá a trámite, si reúne los requisitos exigidos en el artículo anterior”, debiendo advertirse que todos esos requisitos exigidos en el art. 161 del Reglamento de la Asamblea de Extremadura 2008 eran de carácter formal, en concreto: que el texto articulado fuera remitido a la Cámara mediante escrito dirigido al Presidente, especificándose el título de la iniciativa legislativa y los motivos de su presentación y que, de adjuntarse algún documento para su mejor conocimiento por la Cámara, se relacionara en el escrito de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suscitada en el presente recurso de amparo se contrae a determinar si el acuerdo de la Mesa de la Asamblea extremeña de 27 de febrero de 2013, en el que se inadmite a trámite la propuesta de Ley de defensa de la sanidad pública, por la que se modifica la Ley 10/2001, de 28 de junio, de salud de Extremadura y el posterior acuerdo de ese mismo órgano de 5 de marzo de 2013, que desestimó el recurso de reconsideración, han vulnerado el derecho de los miembros del grupo parlamentario que presentó dicha propuesta (Grupo Parlamentario Socialista) a acceder en condiciones de igualdad a las funciones y cargos públicos con los requisitos que señalen las leyes (art. 23.2 CE), en relación con el derecho de los ciudadanos a participar en los asuntos públicos (art. 23.1 CE). La posible afectación del ejercicio del ius in officium por parte de los representantes políticos sin perturbaciones ilegítimas y, en última instancia, del derecho de los propios ciudadanos a participar en los asuntos públicos mediante sus representantes, ha resultado determinante a la hora de considerar que la demanda presenta una especial trascendencia constitucional, por sus posibles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aras de una mayor claridad expositiva, comenzaremos con el análisis de la alegación que se refiere a la falta de motivación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no hace falta insistir en que, dado que las decisiones de inadmisión de las propuestas de ley pueden implicar una limitación del derecho a ejercer la función parlamentaria y —con él— del derecho de participación ciudadana, este Tribunal ha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y teniendo en cuenta que “la motivación de la inadmisión de la proposición de Ley es la que hace posible su reconsideración ante la propia Mesa primero y su posterior impugnación ante el Tribunal Constitucional” (STC 242/2006, de 24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defecto de motivación denunciado se aprecia de modo claro en el acuerdo de 27 de febrero de 2013, pues en él solamente se da cuenta de los antecedentes que preceden a su adopción, entre ellos, la audiencia que, a la vista del informe elevado por el Letrado Mayor, se había dado a la Junta de portavoces de conformidad con lo dispuesto en el art. 49.3 c) del Reglamento de la Asamblea de Extremadura 2008. A continuación, se pasa directamente a acordar la inadmisión a trámite de la propuesta de Ley, señalando que dos de los miembros de la Mesa (el Vicepresidente Segundo y la Secretaria Segunda, Grupo Parlamentario Socialista) votaron a favor, uno (el Secretario Primero, IU-Verdes-SIEx) se abstuvo y otros dos miembros (el Presidente y la Vicepresidenta Primera, PP) votaron en contra, dirimiéndose el empate, en consecuencia, mediante el voto de calidad del Presidente de la Cámara, en aplicación de lo dispuesto en el art. 44 del Reglamento de la Asamblea de Extremadura 2008. Ninguna razón se ofrece, fuera de lo dicho, acerca de por qué se decidió inadmitir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dicha falta de motivación no puede considerarse sanada mediante el acuerdo de la Mesa de 5 de marzo de 2013, por el que se desestima el recurso de reconsideración. En él se señala que el acuerdo se adopta “tras la preceptiva audiencia de la Junta de Portavoces y a la vista del Dictamen evacuado por los servicios jurídicos, que se incorpora al presente Acta”. Podría en principio estimarse que, con ello, el acuerdo en cuestión contendría una motivación por remisión o aliunde —admitida en diversas ocasiones por este Tribunal (entre otras, SSTC 59/2011, de 3 de mayo, FJ 3, y 140/2009, de 15 de junio, FJ 3)—, en tanto que se estaría remitiendo al contenido del informe del Letrado mayor, que se incorpora —además— al acta. Sin embargo, si se observa el contenido de dicho informe, puede comprobarse que este sólo se refiere —como advierte el Fiscal— a la necesidad de que fuera “oída la Junta de Portavoces antes de que la Mesa tome una decisión definitiva al respecto”, al entenderse que la propuesta de Ley “puede estar incardinada dentro del supuesto establecido en el artículo 49. 3 c) del Reglamento de la Asamblea de Extremadura” al “suscitarse dudas en relación con las competencias de la Comunidad Autónoma en la materia, por otorgar al poder legislativo competencias que en la ley básica estatal se otorgan al poder ejecutivo”. Como no podría ser de otro modo, el informe nada dice, en cambio, sobre la necesidad de inadmitir la propuesta, pues tal decisión corresponde a la Mesa y, por tanto, ésta debería haber aportado alguna razón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aunque se admitiese que la Mesa con su escueta referencia al informe citado pudiera estar haciendo suya —en términos ya indubitados— la argumentación del Letrado Mayor en relación con la posible inadecuación a Derecho de la propuesta rechazada, tal motivación —y esto es lo que vienen a denunciar los recurrentes en segundo lugar— tampoco sería adecuada para sustentar la decisión de inadmisión, conforme a las exigencias fijadas en la jurisprudencia constitucional en relación con las facultades de las Mesas de calificación y admisión a trámite de los distintos escritos de índole parlamentaria que se presenten ante ellas. Y ello por las razones que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ejercicio de la iniciativa legislativa parlamentaria, este Tribunal ha señalado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(STC 205/1990), esto es, examinar si la iniciativa cumple con los requisitos formales exigidos por la norma parlamentaria. En cualquier caso, dicho examen no debe suplantar las funciones que le corresponden a la Asamblea legislativa, y que gozan de relevancia constitucional cuando consisten, precisamente, en ejercer la función legislativa por los representantes de los ciudadanos, máxima expresión del ejercicio de la soberanía popular en el Estado democrático. Puesto que la participación en el ejercicio de dicha función y el desempeño de los derechos y facultades que la acompañan, entre los que indudablemente debe contarse con el derecho a la iniciativa legislativa, constituyen una manifestación constitucionalmente relevante del ius in officium del representante, toda decisión de la Mesa sobre la admisibilidad y tramitación de una iniciativa legislativa promovida por un representante de los ciudadanos afecta a su derecho al libre e igual ejercicio de su cargo público, de forma que, perturbado o coartado éste, se perturba y coarta la participación de los ciudadanos en los asuntos públicos, infringiendo, así pues, el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como es el caso de la calificación en ciertos Derechos autonómicos de lo que han de considerarse mociones o interpelaciones, o el de la iniciativa legislativa popular que tiene vedadas ciertas materias por imposición del art. 87.3 C.E. (SSTC 95/1994, 41/1995 y 124/1995; ATC 304/1996). Si la legalidad aplicable no impone límite material alguno a la iniciativa, la verificación de su admisibilidad ha de ser siempre formal, cuidando únicamente de que la iniciativa cumpla con los requisitos de forma que le exige esa legalidad (STC 124/1995).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rigor es aún más intensa, si cabe, cuando el examen de admisibilidad que le compete a la Mesa recae sobre iniciativas legislativas de origen parlamentario, pues la Mesa debe cuidarse de no perturbar con su decisión el derecho de los representantes a suscitar el debate parlamentario sobre una materia determinada mediante el recurso a la iniciativa legislativa (STC 124/1995).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art.23.2 CE. (STC 118/1995)” (STC 38/1999, de 22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lo dicho y con carácter general, las Mesas han de abstenerse de realizar un pretendido juicio de constitucionalidad acerca de los contenidos de las propuestas de ley, admitiendo a trámite cuando se cumplan todas las formalidades reglamentariamente establecidas (STC 124/1995, de 18 de julio, FJ 2). Pero no puede olvidarse tampoco que, excepcionalmente, en la STC 95/1994, de 21 de marzo (FJ 4) admitimos la posibilidad de rechazar una propuesta de ley cuando sea “contraria a la Constitución o ajena a las competencias atribuidas al ordenamiento en cuyo seno pretende integrarse”, exigiéndose para ello, con base en lo dispuesto en la STC 205/1990, de 13 de diciembre, que “la contradicción a Derecho o la inconstitucionalidad de la proposición sean palmarias y evidentes”. Fuera de dichos supuestos excepcionales, correspondería al Pleno de la Cámara rechazarla por esa u otra razón o, por el contrario, decidir, pese a ello, su toma en consideración y depurarla de eventuales vicios de inconstitucionalidad a lo largo de las distintas fases que integran el procedimiento legislativo (STC 124/1995,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aquí enjuiciado, nos encontramos con una normativa reglamentaria que prevé, respecto a las funciones de calificación y admisión a trámite de la Mesa, que esta, antes de decidir sobre la calificación y posterior admisión a trámite, oirá a la Junta de portavoces, entre otros casos, “cuando se susciten dudas en relación con las competencias de la Comunidad Autónoma en la materia” [art. 49.3 c) del Reglamento de la Asamblea de Extremadura 2008]. Los recurrentes discuten su aplicación a las propuestas de ley, pues su calificación y admisión a trámite cuentan con una regulación propia en el art. 162 del Reglamento de la Asamblea de Extremadura 2008, según el cual “la Mesa calificará la iniciativa y la admitirá a trámite si reúne los requisitos exigidos en el artículo anterior”. Es decir, para los recurrentes, la Mesa estaría obligada a admitir la iniciativa si cumple con los requisitos de carácter formal exigidos por el art. 161 del Reglamento de la Asamblea de Extremadura 2008, sin que sea posible inadmitir por razones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corresponde dilucidar si el art. 49. 3 c) del Reglamento de la Asamblea de Extremadura resulta o no aplicable al caso, pues esta es una decisión que pertenece a la Mesa y que no podemos revisar en esta sede, salvo que tal decisión fuera arbitraria, ilógica o desproporcionada, lo que no es el caso. Pues, como se señala, entre otras resoluciones, en el ATC 142/2002, de 23 de julio, FJ 1 “que el derecho del art. 23.2 CE sea un derecho de configuración legal no significa que sea un derecho a la legalidad parlamentaria, de suerte que a su través el Tribunal Constitucional pueda hacer valer su criterio frente al adoptado por los órganos competentes de la Cámara en el ejercicio de las facultades que tienen constitucional y reglamentariamente encomendadas”. Ahora bien, de lo que no cabe duda es que la normativa reglamentaria aplicada ha de interpretarse conforme a nuestra jurisprudencia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nada puede objetarse a que la Mesa decidiera acogerse a lo dispuesto en el art. 49.3 c) del Reglamento de la Asamblea de Extremadura y dar audiencia a la Junta de portavoces antes de decidir sobre la calificación y posterior admisión a trámite de la propuesta de Ley controvertida, por considerar que suscitaba “dudas en relación con las competencias de la Comunidad Autónoma en la materia”. Pero eso no empece para que, de acuerdo con la doctrina constitucional antes mencionada, la inadmisión sólo pueda sustentarse en una contradicción a Derecho o en una inconstitucionalidad de la proposición cuando estas sean “palmarias y evidentes” (STC 95/1994, de 21 de marzo, FJ 4). Y esa condición no concurre aquí. En primer lugar porque, según ya hemos puesto de manifiesto, la Mesa se remite, como único apoyo de su decisión de inadmisión, a lo expresado por el Letrado Mayor en su informe, que no contiene sino meras “dudas en relación con las competencias de la Comunidad Autónoma en la materia, por otorgar al poder legislativo competencias que en la ley básica estatal se otorgan al poder ejecutivo”. Pero es que, además, como advierten con razón los recurrentes, dichas dudas ni siquiera se encuentran suficientemente fundadas en el referido informe, pues no se justifica el carácter básico de la Ley 15/1997 de 25 de abril, sobre habilitación de nuevas formas de gestión del Sistema Nacional de Salud, con la que se confronta la propuesta de Ley, ni se hace alusión alguna a la distribución constitucional y estatutaria de competencias en materia sanitaria, dentro de la cual, el Estatuto de Autonomía extremeño otorga diversas competencias exclusivas a la Comunidad Autónoma, así como de desarrollo normativo y ejecución (arts. 9.1.24 y 10.1.9 del Estatuto de Autonomía de Extremadura, respectivamente). Y, por último —también lo indican los recurrentes—, dicha confrontación se lleva a cabo, erróneamente, respecto al apartado primero del artículo único de la citada Ley 15/1997, que se refiere a la gestión pública de la atención sanitaria, cuando la propuesta de Ley se circunscribe en realidad —como expresamente se dice en su artículo único— al ámbito de lo dispuesto en el apartado segundo de aquella Ley estatal, relativo a la gestión indirecta privada. En tanto que, respecto a la gestión pública, la ley estatal se remite al Gobierno y a los ejecutivos de las Comunidades Autónomas para que, en el ámbito de sus respectivas competencias, determinen sus condiciones, respecto a la gestión privada nada se dice en ese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y de modo análogo a como se sostuvo en la STC 95/1994, de 21 de marzo, FJ 5, ha de concluirse aquí que la Mesa se excedió en sus funciones al inadmitir la proposición de Ley, pues “[u]n control material como el verificado por la Mesa sólo sería admisible si resultara evidente la inconstitucionalidad —material o competencial— de la proposición, lo que no es, desde luego, el caso”. La injustificada inadmisión a trámite hurtó juicios de oportunidad política que sólo correspondían al Pleno de la Cámara, infringiendo, por ello el ius ut procedatur de los parlamentarios autonómicos del Grupo Parlamentario recurrente, en la medida en que excluyó su derecho a que la propuesta presentada fuera convenientemente discutida y deliberada por la Cámara, sea cual fuere el resultado de esa deliberación (en términos parecidos, SSTC 205/1990, de 13 de diciembre, FJ 7, respecto a la inadmisión a trámite por la Mesa del Senado de una moción, y 124/1995, de 18 de julio, FJ 3, en relación con la inadmisión a trámite de una proposición de Ley por la Mesa de la Asamblea Regional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delimitar el alcance de los efectos de esta Sentencia, lo cual es necesario porque los hechos sobre los que versa el presente recurso se produjeron durante la VIII legislatura, finalizada por Decreto del Presidente de la Comunidad Autónoma 5/2015, de 30 de marzo. No cabe por ello adoptar medida alguna de restablecimiento en el disfrute del derecho vulnerado, dirigida a órganos de una Legislatura fenecida y, por tanto, no existente y en relación con una tarea legislativa asimismo precluída. Pero esto no resta importancia al petitum que en este proceso se sustancia, ni impide satisfacer, en lo que sea posible, la pretensión que se deduce, mediante la declaración de reconocimiento del derecho de los parlamentarios del Grupo demandante al ejercicio del derecho establecido en el art. 23.2 de la Constitución y la anulación de las resoluciones que impidieron su ejercicio, al igual que ha ocurrido en anteriores Sentencias declarativas dictadas por este Tribunal (entre otras, SSTC 205/1990 y 95/1994).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el Grupo Parlamentario Socialista (PSOE-Regionalistas) en la Asamblea de Extremadura y por su portavoz, don Valentín García Gómez y, en consecuencia, declarar la nulidad de los acuerdos de la Mesa de dicha Asamblea de 27 de febrero y 5 de marzo de 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