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2569-2014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abril de 2014, la Procuradora de los Tribunales doña Rosa Sorribes Calle, en nombre y representación de don Félix Ojer Pueyo y doña María Carmen Romero Martínez, y bajo la dirección letrada de don Tomás Gui Mori, interpuso demanda de amparo constitucional contra la Sentencia núm. 35/2014, de 7 de febrero, de la Sección Primera de la Audiencia Provincial de Lleida (apelación penal núm. 192-2013), que condenó a los recurrentes de amparo como autores penalmente responsables de un delito de alzamiento de bienes a la pena de dos años de prisión, inhabilitación especial para el ejercicio del derecho de sufragio pasivo durante el tiempo de la condena y multa de quince meses con cuota diaria de 6 €, con responsabilidad personal subsidiaria en caso de impago, revocando la inicial Sentencia absolutoria del Juzgado de lo Penal núm. 3 de Lleida, de 26 de agosto de 2013, dictada en autos de procedimiento abreviado núm. 417-2012. Se dirige la demanda, en segundo lugar, contra la providencia de la misma Sala y Sección, de 19 de marzo de 2014, que inadmitió a trámite el incidente de nulidad de actuaciones interpuesto frente a la Sentencia de apelación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invocando el art. 56 de la Ley Orgánica del Tribunal Constitucional, se solicitó la suspensión de la ejecución de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28 de mayo de 2015, acordó la admisión a trámite de la demanda de amparo y la formación de pieza separada para la tramitación del incidente sobre la suspensión solicitada, otorgando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los correspondientes trámites, la Sala Segunda de este Tribunal dictó el ATC 116/2015, de 6 de julio, denegando la petición al constatar que la ejecución de las penas de prisión impuestas fue suspendida por un plazo de dos años por el Auto del Juzgado de lo Penal núm. 3 de Lleida, de 5 de mayo de 2014, y porque no concurría, en consecuencia, el presupuesto establecido en el art. 56.2 de la Ley Orgánica del Tribunal Constitucional (LOTC): que la ejecución de la pena pudiera ocasionar un perjuicio que hiciera perder al amparo su finalidad. Todo ello, añadía el Tribunal, con independencia de que la denegación de la suspensión pudiera ser modificada en el curso del proceso constitucional si surgieren nuevas circunstancias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día 14 de diciembre de 2015, la representación procesal de los recurrentes solicita nuevamente que se suspenda la ejecución de la Sentencia condenatoria. Lo hace como consecuencia de lo acordado en el Auto de la Audiencia Provincial de Lleida de 13 de noviembre 2015, aclarado después por Auto de 3 de diciembre de 2015, que resolvió el recurso de apelación formalizado contra la inicial resolución que suspendía la ejecución de las penas (Auto de 5 de mayo de 2014). El indicado pronunciamiento, estimatorio del recurso de apelación, determina la devolución de las actuaciones al Juzgado de lo Penal núm. 3 de Lleida, lo que supone —dicen los recurrentes— un riesgo inmediato de que puedan ser ingresados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Auto de 13 de noviembre de 2015 de la Audiencia Provincial de Lleida, como señala la parte en su escrito, acuerda la retroacción de las actuaciones con base en lo prescrito en el art. 81 del Código penal, en su redacción vigente en el momento de dictarse la resolución impugnada en apelación. Un precepto que vincula la suspensión de la ejecución de las penas privativas de libertad inferiores a dos años, entre otros requisitos, a que se hayan satisfecho las responsabilidades civiles que se hubieren originado, salvo que el Juez o Tribunal sentenciador, después de oír a los interesados y al Ministerio Fiscal, declare la imposibilidad total o parcial de que el condenado haga frente a las mismas. A la vista de ello, y de su falta de valoración ad casum, el Auto de 13 de noviembre de 2015 estima el recurso de apelación y devuelve las actuaciones al Juzgado de procedencia para que adecúe “el trámite de ejecución de la sentencia a los parámetros legalmente exigidos para la concesión o denegación del beneficio de suspensión interesado, y, en particular, en lo tocante a la satisfacción de las responsabilidades civiles derivadas del delito por el que fueron condenados para, una vez cumplimentado aquel trámite, valorar con plena libertad de criterio la petición relativa a la suspensión de la pena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por providencia de 15 de diciembre de 2015, acordó unir el escrito de los recurrentes a la pieza formada para la tramitación del incidente sobre suspensión y, conforme determina el art. 56 LOTC, concedió un plazo común de tres días a la parte recurrente y al Ministerio Fiscal para que alegasen lo que estimasen pertinente sobre la solicitud de suspensión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de 22 de diciembre de 2015, los demandantes de amparo se remitieron a lo razonado en el escrito que registraron el anterior día 14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evacuó el trámite el día 12 de enero de 2016. En su opinión, considerando que los nuevos datos fácticos alegados ponen de manifiesto la esencial variación de las circunstancias que llevaron al Tribunal a denegar la suspensión, procedería acceder a ahora a lo solicitado, aunque exclusivamente en cuanto a la pena de prisión, sin extender los efectos a las penas accesorias ni a los pronunciamientos relativos a la responsabilidad civil y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no obstante,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(por todos, ATC 116/2015, de 6 de julio, dictado en esta misma pieza de suspensión),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 Todo ello con independencia de que la denegación de la suspensión pueda ser modificada en el curso del proceso constitucional si surgieren nuevas circunstancias (art. 57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dichas pautas jurisprudenciales y legales, no puede compartirse el criterio sostenido por la parte recurrente y el Ministerio Fiscal. El Auto de la Audiencia Provincial de Lleida, de 13 de noviembre de 2015, retrotrae las actuaciones al Juzgado de procedencia para que adecúe el trámite de ejecución de la sentencia a los parámetros legalmente exigidos y valore con plena libertad de criterio la petición relativa a la suspensión de la pena impuesta. No concurre, entonces, el presupuesto establecido por el art. 56.2 LOTC, esto es, que la ejecución de la pena hubiere de ocasionar un perjuicio que haría perder al amparo su finalidad, pues la decisión sobre la ejecución controvertida está pendiente de resolución en la ejecutoria núm.130-2014, tras la devolución de las actuaciones, existiendo una solicitud de suspensión y una expectativa de que la pena pueda ser suspendida que corresponde sustanciar y resolver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Deberá estarse, por consiguiente, a lo que dispuso el ATC 116/2015, de 6 de julio, también en lo referente a la previsión del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