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28 de abril de 2015, el Procurador de los Tribunales don Ignacio Melchor de Oruña, en nombre y representación de don Ignacio Berenguer Sánchez y don Ángel Berenguer Sánchez, interpuso demanda de amparo contra la Sentencia núm. 147/2015, de 17 de marzo, de la Sala de lo Penal del Tribunal Supremo, que estimó el recurso de casación formalizado por el Ministerio Fiscal, por infracción de ley y de precepto constitucional, contra la Sentencia de 11 de abril de 2014 de la Sección Quinta de la Audiencia Provincial de Madrid, en causa rollo núm. 16-2012 seguida por delito contra la salud pública, y declaró, en su virtud, la nulidad de la mencionada Sentencia con retroacción de las actuaciones a la fase de deliberación subsiguiente a la celebración del juicio, para que, por los mismos Magistrados que la dictaron, se delibere y redacte una nueva, partiendo de la regularidad de la cadena de custodia y de la validez de los informes periciales analíticos emitidos sobre las distintas sustancias incautadas, en contra de lo que apreció en su momento la Sección Quinta de la Audiencia Provincial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aducen que la Sentencia impugnada en amparo lesiona el derecho a la tutela judicial efectiva en relación con el principio de inmediación y el carácter público del proceso y el derecho a la presunción de inocencia (art. 24.2 CE), pues existieron en la cadena de custodia irregularidades relevantes, sin que haya quedado acreditado que la sustancia enviada al laboratorio para su análisis fuera la incautada, más aún si se tiene en cuenta la falta de ratificación del atestado policial en el plenario.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la demanda de amparo solicita la suspensión de la ejecución de la Sentencia de 17 de marzo de 2015, ya que lo contrario implicaría la continuación del procedimiento ante la Sección Quinta de la Audiencia Provincial de Madrid creando “una desmesurada litigiosidad y perjuicio a los 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30 de noviembre de 2015, la Sección Cuarta de este Tribunal acordó admitir a trámite el recurso de amparo.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4 de diciembre de 2015, los recurrentes presentaron en el Registro General de este Tribunal su escrito de alegaciones. Sostienen que una eventual condena produciría un daño irreparable, dada la duración de las penas privativas de libertad previstas para el delito por el que son acusados, resultando que, por el contrario, la suspensión solicitada no ocasiona lesión específica y grave de los intereses generales ni de los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17 de diciembre de 2015, el Ministerio Fiscal presentó su escrito de alegaciones, oponiéndose a la suspensión solicitada. Destaca que la Sentencia de 17 de marzo de 2015, dictada por la Sala de lo Penal del Tribunal Supremo, no impone ninguna pena, “limitándose a acordar la nulidad del procedimiento y su retroacción al momento en que la Audiencia Provincial de Madrid dictó sentencia, que lo fue absolutoria”. En consecuencia, concluye, no puede hablarse “de que la situación actual pueda provocar un daño irreparable a los recurrentes”.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el Tribunal ha declarado que cuando el amparo constitucional se solicita respecto de resoluciones judiciales firmes, la suspensión de su ejecución entraña en sí misma una perturbación de la función jurisdiccional que comprende la potestad de hacer ejecutar lo juzgado (art. 117.3 CE), por lo que esta medida cautelar resulta pertinente únicamente si la ejecución del fallo causa al solicitante de amparo un perjuicio irreparable, debiendo entenderse por tal aquel que provoque que el restablecimiento del recurrente en los derechos fundamentales cuya vulneración denuncia sea tardío e impida definitivamente que la restauración sea efectiva (por citar el más reciente, ATC 117/2015, de 6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ha establecido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(por ejemplo, ATC 95/2015, de 25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se solicita la suspensión de la ejecución de una sentencia que retrotrae las actuaciones a la fase de deliberación subsiguiente a la celebración del juicio ante la Sección Quinta de la Audiencia Provincial de Madrid, para que se dicte nueva sentencia partiendo de la regularidad de la cadena de custodia y de la validez de los informes analíticos emitidos sobre las diferentes sustancias incautadas, en contra de lo que dispuso la Sentencia de 11 de abril de 2014, en causa rollo núm. 16-2012 seguida por delito contra la salud pública, anulada por el pronunciamiento judicial que ahora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ello, como afirma con rigor el Ministerio Fiscal, no sólo no existe pena alguna que haya sido impuesta en esta fecha, sino que ni siquiera cabe presumir que la decisión final del proceso sea condenatoria, toda vez que la Audiencia Provincial deberá decidir a la vista de la valoración conjunta de todo el acervo probatorio, partiendo, claro es, de que no hubo ruptura de la cadena de custodia, como ha establecido la Sentencia de la Sala Segunda del Alto Tribunal. En esas circunstancias, con independencia de lo que deba decirse en nuestra Sentencia sobre las quejas formuladas, no se advierte aquí qué concretos perjuicios podría acarrear la ejecución de la Sentencia del Tribunal Supremo, con la continuidad necesaria del procedimiento, ni tampoco, por lo tanto, la irreparabilidad de los mismos, pues no puede aceptarse que una eventual condena futura a los recurrentes —que de darse sería el resultado del propio enjuiciamiento— constituya en sí misma considerada un perjuicio irreparable y real que deba evitarse en esta fase, al resultar, antes bien, un efecto solo potencial y futuro y una hipótesis, en realidad, expresiva de un temor de los recurrentes que no hace perder al amparo su finalidad y que no impide definitivamente, si procediera, que la restauración de sus derechos fundamentales pueda ser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