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3 de marzo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Vicepresidenta,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2391-2014, promovido por el Consejo de Gobierno de la Comunidad Autónoma de Andalucía contra la disposición transitoria tercera y la disposición final segunda del Real Decreto-ley 9/2013, de 12 de julio, por el que se adoptan medidas urgentes para garantizar la estabilidad financiera del sistema eléctrico. Ha comparecido y formulado alegaciones el Abogado del Estado.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11 de abril de 2014 tuvo entrada en el Registro General de este Tribunal, escrito del Letrado de la Junta de Andalucía por el que, en nombre y representación del Consejo de Gobierno de la Comunidad Autónoma, interpone recurso de inconstitucionalidad contra la disposición transitoria tercera y la disposición final segunda del Real Decreto-ley 9/2013, de 12 de julio, por el que se adoptan medidas urgentes para garantizar la estabilidad financiera del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referencia al cumplimiento de los requisitos procesales para el planteamiento del recurso, y al marco normativo general en el que se inserta la disposición recurrida, la demanda procede al análisis de los concretos motivos de inconstitucionalidad sustentan la presente impugnación, y que son los que sintéticamente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 la demanda, en primer término, que se incumple el presupuesto habilitante de la extraordinaria y urgente necesidad, contemplado en el art. 86.1 CE, para la utilización del instrumento normativo del decreto-ley. Tras un extenso análisis de la doctrina constitucional en la materia, se afirma que dicho incumplimiento deriva del hecho de que, conforme a lo señalado en la exposición de motivos de la norma, la extraordinaria urgencia se sustenta en la necesidad de paliar el déficit tarifario del sector eléctrico, y dicha circunstancia no es nueva, sino que ha sido objeto de una utilización sistemática y reiterada, por lo que difícilmente puede defenderse que nos hallemos ante una situación imprevista, cuando la propia defensa parlamentaria de la medidas normativas ha puesto de relieve la existencia de este déficit desde hace casi una década.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también la demanda que se infringe el art. 86.1 CE, en cuanto las medidas que se adoptan no modifican de manera instantánea la situación jurídica existente, ya que la mayoría de ellas tiene una aplicación diferida. El mantenimiento transitorio de las disposiciones derogadas, recogido en la disposición transitoria tercera de la norma impugnada, se opone a la urgencia que justifica acudir a la figura del decreto-ley; y la remisión a una norma posterior para la regulación del nuevo régimen retributivo de ese subsector, que efectúa la disposición final segunda, justifica la falta de eficacia directa de las medidas adoptadas. En todo caso, no se explicitarían en el preámbulo cuáles son los motivos por lo que dicha regulación no podría haberse aprobado como proyecto de ley, siquiera sea por el procedimiento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alega, en segundo lugar, la vulneración del principio constitucional de seguridad jurídica (art. 9.3 CE), y su corolario de confianza legítima, que se produciría en su vertiente de certeza del régimen jurídico aplicable al sector de la producción de energía obtenida con fuentes renovables, en la medida en que las continuas decisiones legislativas de los últimos años, cambiando las reglas de juego del mercado eléctrico por la vía de urgencia, introducen una evidente incertidumbre entre los operadores del sector y los ciudadanos en general, contraria a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infracción del principio de confianza legítima, corolario del principio de seguridad jurídica, encuentra su fundamento en el hecho de que la modificación del régimen retributivo de esta modalidad de producción de energía eléctrica, constituye una medida que, no aisladamente, pero sí contextualizada en su conjunto, implica un cambio de orientación no previsible en el régimen jurídico-económico en el que legítimamente confiaron los operadores del sector, yendo pues más allá de una razonable opción de política legislativa. Supone un cambio drástico del sistema normativo diseñado en los pasados años conforme a la normativa europea, sistema que implicaba la creación por la Administración de unos signos externos (normativa y planes) de relevante perdurabilidad, que impulsó a los operadores del sector a adoptar determinadas decisiones en cuanto a su planificación e inversión. La constante modificación en un sector necesitado de planificación a largo plazo, en los términos de los arts. 38 y 131 CE, vulnera el principio de seguridad jurídica y confianza legítima que garantizar el art. 9.3 CE, pues, además de perjudicar el interés jurídico protegido por dichos principios, pone en riesgo las inversiones ya realizadas por los empresarios del sector y la ciudadanía en general, en tanto que se modifican de modo constante y reiterado las normas en base a las cuales se adoptaron las decisiones empresariales.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la disposición transitoria tercera deja vigentes de modo transitorio una serie de disposiciones, pero manteniendo la total incertidumbre acerca de la duración de dicha transitoriedad, lo que es claramente contrario a la seguridad jurídica, pues va a provocar que la actividad de generación se desarrolle con total desconocimiento de la fecha y cuantía de la retribución que se va a percibir por ella a partir de la entrada en vigor del Real Decreto, posponiendo la determinación de los derechos de pago y cobro a una regulación posterior. Por su parte, la disposición final segunda remite la regulación del nuevo régimen jurídico y económico de la producción de esta modalidad de energía, a la aprobación posterior por parte del Gobierno de un real decreto sobre esta materia, por lo que nuevamente se expone a los inversores a la incertidumbre sobre la retribución que les corresponderá, y el momento a partir del cual entrará en vigor el nuevo modelo.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Constitucional a propuesta de la Sección Primera y por providencia de 27 de mayo de 2014, se acordó admitir a trámite el presente recurso de inconstitucionalidad y dar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quince días, pudiesen personarse en el proceso y formular las alegaciones que estimaren convenientes,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ante este Tribunal el 5 de junio de 2014, el Presidente del Congreso de los Diputados comunicó el acuerdo de la Mesa de la Cámara de dar por personada a la misma en este procedimiento y por ofrecida su colaboración a los efectos del art. 88.1 LOTC. En el mismo sentido, y por escrito de 11 de junio de 2014, el Presidente del Senado comunica la personación de esa Cámara y el ofrecimiento de colaboración a los efectos del citado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11 de junio de 2014, el Abogado del Estado se persona en nombre del Gobierno y solicita prórroga del plazo para formular alegaciones, que le fue concedido mediante providencia del Pleno de 12 de junio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2 de julio de 2014 tuvo entrada en este Tribunal escrito de alegaciones del Abogado del Estado, en el que solicita se tenga por evacuado el trámite conferido y, en su día, se dicte sentencia desestimatoria del presente recurso en todos sus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y en cuanto a la alegada vulneración del art. 86.1 CE, el Abogado del Estado manifiesta que la situación de extraordinaria y urgente necesidad deriva del carácter insostenible del déficit del sector eléctrico y de la necesidad de adoptar medidas urgentes de vigencia inmediata que permitan poner término a dicha situación. En los últimos ejercicios, el déficit tarifario ha continuado su crecimiento, hasta situarse, según los últimos datos disponibles de la Comisión Nacional de la Energía, en un saldo de deuda acumulada de 26.062,51 millones de euros, a 10 de mayo de 2013. De forma complementaria al cálculo de la deuda del sistema eléctrico, señala que desde el año 2003 hasta el 10 de mayo de 2013, el importe satisfecho para financiar el déficit del sistema eléctrico a través de anualidades que se incorporan en los peajes de acceso de los consumidores, a precios corrientes de cada año, ascienda a 11.823 millones de euros. Por este motivo se han venido adoptando en los últimos años una serie de medidas de carácter urgente que afectan tanto a la partida de costes como a la de ingresos. Es en definitiva la gravísima situación financiera del sistema eléctrico, motivada por la evolución descontrolada e insostenible del déficit de tarifa, la que ha hecho necesario la adopción de múltiples medidas excepcionales y urgentes que han afectado a todos los agentes del sistema, con el objetivo de contener los costes y, a la vez, dar estabilidad al sistema para evitar en lo posible futuras desviaciones con respecto a las estimaciones.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señalando el Abogado del Estado que, expuesta la situación de gravedad en relación con la estabilidad financiera del sistema eléctrico, la tardanza en la adopción de medidas legislativas podría haber afectado muy negativamente al mantenimiento mismo de la producción y suministro de energía eléctrica. No es tanto la imprevisibilidad en sí de las circunstancias, cuanto la gravedad de las mismas como efecto derivado de regulaciones anteriores que introdujeron en el sistema patrones de primas y subvención que devienen excesivamente costosos para unos presupuestos en situación de contracción económica y la consiguiente urgencia de adoptar las medidas normativas adecuadas para su solución. El carácter estructural del problema no imposibilita desde el punto de vista jurídico la adopción en un momento dado de medidas legislativas a través de un decreto-ley si, en consideración a las circunstancias concretas en dicho momentos en que se adopta la norma, el Gobierno así lo aprecia justamente.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asimismo el Abogado del Estado que la norma recurrida tiene una vigencia inmediata y, en este sentido, la disposición final segunda del Real Decreto-ley establece la vigencia del nuevo régimen de retribución desde la entrada en vigor del mismo, esto es, sin efecto retroactivo alguno, por lo que no se trata de un régimen de retribuciones aplazado; el destinatario de la norma sabe cuál es el nuevo sistema de retribuciones a la producción, sobre qué bases se asienta y en qué consiste desde la entrada en vigor del Real Decreto-ley y cómo se aplicará, es decir, la aplicación provisional con facturaciones a cuenta del sistema hasta el momento vigente, y el porqué de la situación, la necesidad de precisión reguladora en el sistema de facturación mediante normativa reglamentaria de carácter técnico.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los elementos normativos básicos o esenciales de la reforma ya están prefijados en la nueva redacción del art. 30.4 de la Ley 54/1997, modificado por el art. 1.3 del Real Decreto-ley. La referencia que se efectúa al real decreto que modificará el modelo retributivo, significa el desarrollo, detalle o concreción de ese nuevo régimen retributivo que introduce el Real Decreto-ley 9/2013. Por su parte, la disposición transitoria tercera contiene una norma lógica de derecho transitorio puesto que la nueva regulación establecida prevé un desarrollo reglamentario para su efectiva aplicación, sin que ello suponga en modo alguno deslegalización o remisión en bloque a la norma reglamentaria, sino, por el contrario, una norma de concreción y ejecución del régimen jurídico esencial ya establecido o configurado por 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produce, pues, un efecto retroactivo, en tanto que el nuevo régimen jurídico se aplica desde la entrada en vigor del Real Decreto-ley 9/2013, y así lo prevé de manera explícita la norma, con independencia de que quepa una normativa de desarrollo. La retroactividad que pudiera apreciarse lo sería solo de grado mínimo, pues la aplicación de la nueva ley se produce sólo respecto de los efectos de las situaciones que se generen tras la entrada en vigor de la misma, algo admitido doctrinalmente por la jurisprudencia constitucional, máxime en lo que se refiere al cambio legislativo que experimente el ordenamiento a través de normas con rango de ley, cuya actividad innovadora no contraviene el principio de irretroactividad. Tampoco nos hallamos ante una norma sancionadora en sentido técnico, y la misma no posee alcance expropiatorio alguno, ni incide en derechos patrimoniales ya consolidados e incorporados definitivamente al patrimonio del destinatario de la norma o modificativa de situaciones jurídicas favorables ya agotadas o consumadas. Como argumento complementario, se señala que la norma no contempla en ningún caso la devolución de cantidades percibidas con anterioridad a su entrada en vigor, e incorporadas al patrimonio del sujeto destinatario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alegada infracción del principio de seguridad jurídica, señala el Abogado del Estado que las circunstancias que motivan la regulación de fondo contenida en el Real Decreto-ley, y su condición de norma con rango de ley disipan la objeción de una supuesta o hipotética falta de seguridad jurídica respecto de la situación regulada, conforme y por comparación con la normativa preexistente que viene a modificar. Se recuerda que, conforme a la doctrina constitucional, el principio de seguridad protege la confianza de los ciudadanos, pero no puede entenderse como un supuesto derecho al mantenimiento de una determinado régimen jurídico; la confianza que protege ese principio es únicamente la que puede existir frente a cambios normativos que no sean razonablemente previsibles, y no puede resultar previsible el mantenimiento indefinido e inamovible de una situación, que no conceda al legislador la posibilidad de alteración de ese régimen o la innovación de la realidad jurídica, hacia una situación regida por premisas normales de explotación económica de mercado, en un sector empresarial determinado, es decir no puede pretenderse la permanencia de un sistema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rechaza por el Abogado del Estado que la norma resulte arbitraria, en tanto que la modificación operada se produce sobre la base de criterios específicos y objetivos otorgados por la ley de reforma, e íntimamente conectados con la realidad jurídica empresarial de la industria en la que incide. Y se niega también la supuesta desigualdad de trato entre empresas del sector eléctrico, pues, como se pone de manifiesto en el informe de la Secretaría General Técnica, “la evolución descontrolada e insostenible del déficit de tarifa ha hecho necesaria la adopción de múltiples medidas… que han afectado a todos los agentes del sistema…”. La modificación que ahora se introduce no constituye pues, una medida aislada sino una norma que se integra dentro del conjunto sistemático del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 de marzo de 2016, se señaló para deliberación y votación de la presente Sentencia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el recurso de inconstitucionalidad interpuesto por el Consejo de Gobierno de la Comunidad Autónoma de Andalucía contra la disposición transitoria tercera y la disposición final segunda del Real Decreto-ley 9/2013, de 12 de julio, por el que se adoptan medidas urgentes para garantizar la estabilidad financiera del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viene, en lo sustancial, a modificar la Ley 54/1997, de 27 de noviembre, del sector eléctrico, en orden al establecimiento de un nuevo régimen retributivo para las instalaciones de producción de energía eléctrica a partir de fuentes de energía renovable, cogeneración y residuos. A través de los preceptos impugnados en este proceso, se habilita al Gobierno para desarrollar por real decreto el régimen jurídico y económico para estas instalaciones con retribución primada, que modificará el régimen retributivo de las instalaciones existentes, y será de aplicación desde la entrada en vigor del presente Real Decreto-ley; y se establece, además, un régimen transitorio, en virtud del cual serán temporalmente de aplicación los reales decretos que contemplan el régimen vigente —y que expresamente se derogan—, hasta la aprobación de las disposiciones necesarias para la plena aplicación del nuevo régimen retributivo.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Gobierno de Andalucía considera que los preceptos impugnados infringen: el art. 86.1 CE, por falta del presupuesto habilitante de la extraordinaria y urgente necesidad para la aprobación de la norma por el procedimiento de urgencia; y el principio de seguridad jurídica del art. 9.3 CE, en su vertiente de protección de la, confianza legítima y certeza del derecho, en la medida en que el cambio normativo realizado por vía de urgencia y con carácter retroactivo, genera incertidumbre en los afectados, y resulta imprevisible y desfavorable para las instalaciones de producción de energía eléctrica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por el contrario, la constitucionalidad de los preceptos impugnados, rechazando, por los motivos que se resumen en los antecedentes de esta Sentencia, la vulneración de los preceptos constitucionales alegados por el Letrado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cuestiones controvertidas en el presente proceso, presentan una sustancial coincidencia con las suscitadas en el recurso de inconstitucionalidad tramitado bajo el número 5347-2013 y resuelto por la reciente STC 270/2015, de 17 de diciembre, cuya doctrina resulta, en consecuencia, de directa aplicación al supuesto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fondo, y en lo que respecta a la pervivencia del proceso tras las modificaciones efectuadas en la norma impugnada por la Ley 24/2013, de 26 de diciembre, del sector eléctrico, hemos tenido ocasión de señalar que tales modificaciones no han dado lugar a una derogación, o, lo que es lo mismo, a la remoción absoluta de las situaciones jurídicas creadas al amparo de la disposición impugnada, sino, más bien al contrario, a una novación actualizada del régimen retributivo que se contempla en a disposición impugnada para la actividad de producción a partir de fuentes de energía renovables, cogeneración y residuos con régimen económico primado; régimen jurídico al que expresamente se remite la Ley 24/2013 y que, en consecuencia y en lo sustancial, ha resultado incorporado, en sus propios términos, a una norma con rango formal de ley. Por esta razón la modificación de las normas impugnadas en el presente proceso no permite apreciar la desaparición del objeto del recurso de inconstitucionalidad formulado, siendo procedente, en consecuencia, el examen de fondo de los preceptos impugnados (STC 270/2015,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examen de fondo, procede examinar en primer término la tacha de inconstitucionalidad relativa a la vulneración del art. 86.1 CE que se imputa a los preceptos impugnados y que se fundamenta en la ausencia del presupuesto habilitante de la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cumplimiento de los requisitos previstos en el art. 86.1 CE, fue objeto de examen pormenorizado en el fundamento jurídico 5 de la STC 270/2015, entendiendo que “las razones que motivaron la aprobación de esta norma de urgencia derivan de la evolución expansiva de los costes del sistema eléctrico, unida a las consecuencias de la crisis económica y a la necesidad de cumplimiento de los objetivos de déficit para el año 2014, que determinan la necesidad de adopción de una serie de medidas dirigidas a garantizar la estabilidad financiera del sistema eléctrico, mediante una revisión de su marco regulatorio. Es pues, la situación de crisis económica que ha repercutido en una caída imprevista de la demanda de energía eléctrica, junto con el incremento general de costes, que ha provocado un aumento imprevisto del déficit tarifario, lo que justifica la adopción de las medidas contempladas en la norma que se examina”.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justificación específica de las medidas adoptadas, consideramos que “el argumento que sustenta las modificaciones introducidas viene a ser coincidente con el de carácter general, si bien se singulariza en el hecho de que, entre las partidas de costes que han contribuido en mayor medida al incremento del déficit tarifario destacan las primas del régimen especial y las anualidades de déficits acumulados, partidas que se han multiplicado por seis y por nueve respectivamente entre 2004 y 2012. En concreto, en el período 2013 se alude a la concurrencia de unas condiciones meteorológicas atípicas que han ocasionado, por un lado el hundimiento del precio del mercado diario hasta un nivel mínimo, y el incremento de las horas de funcionamiento de determinadas tecnologías con derecho a régimen económico primado, lo que ha determinado una notable desviación al alza del sobrecoste del régimen especial, como consecuencia de los menores precios de mercado registrados; a ello se añade que la difícil situación presupuestaria no permite dotar, en su totalidad, este extracoste, sin comprometer el cumplimiento de los objetivos de déficit para el ejercicio 2014. Sobre esta base, el nuevo régimen jurídico y económico para las instalaciones de producción de energía eléctrica existentes a partir de fuentes de energía renovable, cogeneración y residuos, se basa en la percepción de los ingresos derivados de la participación en el mercado, con una retribución específica que permita la cobertura de los costes adicionales de estas instalaciones respecto de las del resto de tecnologías en el mercado, y les permita competir en el mercado en nivel de igualdad con el resto de las tecnologías y obtener una rentabilidad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conexión de sentido, dijimos que “las medidas propuestas, en cuanto persiguen precisamente un ajuste de los costes en el sector eléctrico, guardan la necesaria conexión entre la situación de extraordinaria y urgente necesidad descrita, y las medidas adoptadas para hacerle frente. Además, las medidas previstas modifican de modo inmediato la situación jurídica existente, en cuanto que el nuevo sistema retributivo que la norma inicia, si bien requiere el necesario desarrollo reglamentario, es aplicable desde el momento de la entrada en vigor del Real Decreto-ley 9/2013. Efectivamente, éste establece la aplicación transitoria del régimen retributivo anterior, ahora con el carácter de pagos a cuenta, que se liquidarán definitivamente en el momento en que se apruebe el aludido desarrollo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desestimar el recurso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segundo lugar se alega la vulneración del principio de seguridad jurídica (art. 9.3 CE) en su vertiente de previsibilidad o protección de la confianza legítima y también en su dimensión de certeza del Derecho. Los argumentos expuestos por los recurrentes han sido expresamente rechazados por este Tribunal en el fundamento jurídico 7 de la citada STC 270/2015.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Afirmamos entonces que “el principio de seguridad jurídica, entendido como la certeza sobre el ordenamiento jurídico aplicable, la ausencia de confusión normativa y la previsibilidad en la aplicación de derecho, no resulta afectado por los preceptos que son objeto del presente recurso de inconstitucionalidad … No estamos ante una norma incierta o falta de la indispensable claridad, pues cuenta con un contenido preciso y unos efectos perfectamente determinados.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respeto de dicho principio, y su corolario, el principio de confianza legítima, es compatible con las modificaciones en el régimen retributivo de las energías renovables realizado por el Real Decreto-ley 9/2013, más aún —como sucede en el presente caso—, en un ámbito sujeto a un elevada intervención administrativa en virtud de su incidencia en intereses generales, y a un complejo sistema regulatorio que hace inviable la pretensión de que los elementos más favorables estén investidos de permanencia o inalterabilidad frente al ejercicio de una potestad legislativa que obliga a los poderes públicos a la adaptación de dicha regulación a una cambiante realidad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Estimamos también que “los cambios legislativos producidos no pueden ser cuestionados desde la óptica del principio de confianza legítima. Este principio no protege de modo absoluto la estabilidad regulatoria, ni la inmutabilidad de las normas precedentes, máxime en el contexto en que se promulgó el Real Decreto-ley que ahora se enjuicia, es decir, de dificultades económicas y de crecimiento del déficit del sistema eléctrico. Los principios de seguridad jurídica y su corolario, el de confianza legítima, no suponen el derecho de los actores económicos a la permanencia de la regulación existente en un momento dado en un determinado sector de actividad. Dicha estabilidad regulatoria es compatible con cambios legislativos, cuando sean previsibles y derivados de exigencias claras del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las medidas cuestionadas implican, ciertamente, una modificación respecto del régimen anterior, decisión que el legislador de urgencia adopta a la vista de la situación en la que se encontraba el sistema eléctrico. No cabe calificar de inesperada la modificación producida, pues la evolución de las circunstancias que afectaban a dicho sector de la economía, hacían necesario acometer ajustes de este marco normativo, como efecto de las difíciles circunstancias del sector en su conjunto y la necesidad de asegurar el necesario equilibrio económico y la adecuada gestión del sistema. No cabe, por tanto, argumentar que la modificación del régimen retributivo que se examina fuera imprevisible para un ‘operador económico prudente y diligente’, atendiendo a las circunstancias económicas y a la insuficiencia de las medidas adoptadas para reducir un déficit persistente y continuamente al alza del sistema del sistema eléctrico no suficientemente atajado con disposiciones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del Real Decreto-ley determina que su objeto es evitar la ‘sobre-retribución’ de determinadas instalaciones de régimen especial, sin que los principios invocados por los recurrentes —seguridad jurídica y confianza legítima— puedan constituir un obstáculo insalvable para que el titular de la potestad legislativa pueda introducir medidas de carácter general que impliquen una alteración de determinados aspectos del régimen retributivo anterior. Estamos pues ante una norma clara, que no genera duda sobre sus efectos, los presupuestos de hecho a los que se aplica o sus consecuencias jurídicas, por lo que, ni desde una vertiente objetiva ni desde una subjetiva genera incertidumbre sobre su alcance. En una situación de crisis económica generalizada, modificaciones análogas a la presente han sido llevadas a cabo en éste y en otros sectores económicos, que, además, están sometidos a una intervención administrativa más intensa, dada su incidencia en los intereses generales, como lo es la actividad de producción de energía eléctrica. Ello hace particularmente inviable la pretensión de que los elementos más favorables de su régimen económico estén investidos de una pretensión de permanencia e inalterabilidad en el tiempo, pues es precisamente la protección de esos intereses generales la premisa que obliga a los poderes públicos a adaptar su regulación al cambio de las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palabras de este Tribunal, los principios de seguridad jurídica y confianza legítima no permiten consagrar un pretendido derecho a la congelación del ordenamiento jurídico existente (SSTC 182/1997, de 28 de octubre, FJ 13 y 183/2014, de 6 de noviembre, FJ 3) ni, evidentemente pueden impedir la introducción de modificaciones legislativas repentinas, máxime cuando lo hace el legislador de urgencia (STC 237/2012, de 13 de diciembre, FJ 6). En estos casos, es precisamente la perentoriedad de la reacción legislativa —cuya concurrencia en este caso ya ha sido examinada— la que abre la puerta a la injerencia del gobierno en la legislación vigente, al amparo del art. 86.1 CE (STC 81/2015, de 30 de abril, FJ 8). No sería coherente con el carácter dinámico del ordenamiento jurídico y con nuestra doctrina constante acerca de que la realización del principio de seguridad jurídica, aquí en su vertiente de protección de la confianza legítima, no puede dar lugar a la congelación o petrificación de ese mismo ordenamiento (por todas, STC 183/2014, FJ 3), por lo que no cabe sino concluir que la regulación impugnada se enmarca en el margen de configuración del legislador, que tiene plena libertad para elegir entre las distintas opciones posibles, dentro de la Constitución”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alegada infracción del principio de seguridad jurídica, en su vertiente de previsibilidad y certeza de derecho, en concreto, en lo que respecta a los preceptos impugnados en este proceso, también hemos tenido ocasión de señalar que el Real Decreto-ley 9/2013, viene a establecer un nuevo régimen retributivo para determinadas instalaciones de producción de energía eléctrica; deroga expresamente el Real Decreto 661/2007, de 25 de mayo, por el que se regula la actividad de producción de energía eléctrica en régimen especial, así como el Real Decreto 1578/2008, de 26 de septiembre, de retribución de la actividad de producción de energía eléctrica mediante tecnología solar fotovoltaica. Pero, el nuevo sistema retributivo, iniciado por el Real Decreto-ley 9/2013 y asumido por la Ley 24/2013, requiere el necesario desarrollo reglamentario para la aplicación efectiva de dicho régimen retributivo a cada una de las instalaciones de producción de energía eléctrica, y, para resolver la situación de vacío reglamentario provocado por la derogación de los anteriores reglamentos, la disposición transitoria tercera del mismo, dispone que temporalmente serán de aplicación los derogados Reales Decretos 661/2007 y1578/2008, con carácter transitorio, hasta la aprobación de las disposiciones necesarias para la plena aplicación del nuevo régimen retributivo.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desarrollo reglamentario de este nuevo régimen retributivo, previsto en la disposición final segunda del Real Decreto-ley 9/2013 y reiterado en la disposición final tercera de la Ley 24/2013, de 26 de diciembre, del sector eléctrico, se ha llevado a cabo a través del Real Decreto 413/2014, de 6 de junio, por el que se regula la actividad de producción de energía eléctrica a partir de fuentes de energía renovables, cogeneración y residuos, y con ello ha cesado la aplicación del régimen transitorio previsto en la disposición transitoria tercera. Como ya afirmamos en las SSTC 96/2014, FJ 3 c) y 183/2014, FJ 2, “lo sucedido durante estos meses es que las instalaciones existentes han recibido los pagos procedentes de ‘liquidaciones a cuenta’ del nuevo sistema, emitidas al amparo de ese régimen transitorio. Este fue previsto al objeto de mantener los flujos retributivos de las instalaciones, evitando los perjuicios que hubiera causado la demora en el desarrollo reglamentario. Una vez aprobadas las disposiciones normativas necesarias para la aplicación definitiva del nuevo régimen retributivo, se procederá a practicar una regularización correspondiente por los derechos de cobro o en su caso las obligaciones de pago resultantes de la aplicación del vigente sistema retributivo, con efectos desde la entrada en vigor del Real Decreto-ley 9/2013, de 12 de julio, tal y como establece su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Real Decreto-ley 9/2013 entró en vigor al día siguiente de su publicación en el “Boletín Oficial del Estado” (tal y como establece su disposición final décima), pero sus efectos, en lo relativo a las liquidaciones derivadas del nuevo régimen retributivo, se aplican a partir de la publicación del Real Decreto 413/2014, produciéndose una disociación temporal entre la vigencia inmediata de la norma y el ámbito temporal de eficacia, que tiene un efecto retroactivo [FJ 7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implica, como alega la parte recurrente, que la norma impugnada tenga carácter retroactivo, puesto que “el Real Decreto-ley 9/2013 tiene una vigencia inmediata y produce efectos a partir de su entrada en vigor. Los titulares de las instalaciones de producción de energía eléctrica en régimen primado están sujetos a ese nuevo régimen retributivo desde la fecha de entrada en vigor del Real Decreto-ley 9/2013, sin perjuicio de que la cuantificación precisa de dicha retribución no se produzca hasta la aprobación de la norma reglamentaria correspondiente, y sin que dicha sujeción conlleve una afectación desfavorable a los derechos adquiridos, desde una perspectiva constitucional, esto es, no incide en derechos patrimoniales previamente consolidados e incorporados definitivamente al patrimonio del destinatario, o en situaciones jurídicas ya agotadas o consumadas … No estamos, en suma, ante una norma sancionadora o restrictiva de derechos, ni ante una regulación que afecte a una situación “agotada”, consolidada, perfeccionada o patrimonializada —en los términos utilizados por nuestra jurisprudencia— que haya sido revertida in peius con efecto retroactivo, por lo que no concurre un supuesto de retroactividad constitucionalmente prohibida, y, en consecuencia, no se produce una vulneración del art. 9.3 CE” [FJ 7 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Juan Antonio Xiol Ríos respecto de la Sentencia dictada en el recurso de inconstitucionalidad núm. 2391-2014, al que se adhieren la Magistrada doña Adela Asua Batarrita y el Magistrado don Fernando Valdés Dal-Ré</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su fundamentación jurídica, aunque no con el fallo, referida a la invocación de los principios de seguridad jurídica y confianza legítima analizada en el fundamento jurídico 4, respecto de la modificación del régimen de incentivos a las energías renovables.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razón de mi discrepancia es coincidente con la que ya fue expuesta en el Voto particular concurrente a la STC 270/2015, de 17 de diciembre, al que para evitar reiteraciones innecesarias me remito.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tres de marzo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