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1995-2014, interpuesto por el Letrado del servicio jurídico del Principado de Asturias, en representación del Consejo de Gobierno de la Comunidad Autónoma, contra los apartados 7 y 9 del art. 1, el art. 2.2 y las disposiciones adicionales sexta, transitorias primera a cuarta de la Ley 27/2013, de 27 de diciembre, de racionalización y sostenibilidad de la Administración local, por vulneración de la Constitución (art. 149.1.18) y del Estatuto de Autonomía del Principado de Asturias (arts. 6, 10.1.2 y 11.10).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marzo de 2014, el Letrado del servicio jurídico del Principado de Asturias, en representación del Consejo de Gobierno de la Comunidad Autónoma, interpone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impugna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24 bis de la Ley 7/1985, de 2 de abril, reguladora de las bases del régimen local (LBRL), introducido por el art. 1.7 de la Ley 27/2013. El art. 10.1.2 del Estatuto de Autonomía para Asturias (EAAst) atribuye a esta Comunidad Autónoma la competencia exclusiva para la creación de organizaciones territoriales de ámbito inferior al municipio de acuerdo con la posibilidad prevista en el art. 148.2 CE (cita SSTC 179/1985, de 19 de diciembre, FJ 2; 214/1989, de 21 de diciembre, FFJJ 4 y 6; 103/2013, de 25 de abril, FJ 4, y 143/2013, de 11 de julio, FJ 4). La señalada previsión efectúa una remisión al art. 6 EAAst, que reconoce expresamente la personalidad jurídica de las denominadas “parroquias rurales”. El Principado de Asturias ha aprobado en consonancia con esta previsión estatutaria la Ley 11/1986, de 20 de noviembre, por la que se reconoce la personalidad jurídica de la parroquia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el recurso razona primero la inconstitucionalidad del inciso “que carecerán de personalidad jurídica” del nuevo art. 24 bis.1 LBRL. Esta previsión, junto a la introducción del nuevo art. 3.2 y la supresión del art. 45, todos de la Ley de bases de régimen local, supondrían la pérdida de la condición de entidad local con personalidad jurídica propia de las parroquias rurales que se creen a partir de la entrada en vigor de la Ley 27/2013. Se produciría así un “efecto cierre” o desplazamiento de la legislación autonómica. Habría, en particular, la vulneración de las competencias atribuidas al Principado de Asturias (art. 10.2 EAAst), así como la infracción de las normas sobre organización territorial del Estatuto de Autonomía (art. 6.2), que, integradas en el bloque de la constitucionalidad, obligan a las leyes tanto autonómicas como estatales. A su vez, la fijación de regímenes diferenciados para situaciones de hecho semejantes en función de la preexistencia del ente local menor pudiera merecer per se un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24 bis.3 LBRL somete la creación de este tipo de entidades a la condición de que resulte más eficiente que la administración desconcentrada de núcleos de población separados. Tal previsión sería vaga o abierta, admitiendo con ello una pluralidad de desarrollos posibles. A su vez, la sostenibilidad financiera es un requisito que podría entenderse referido al conjunto de la hacienda municipal, no solo a la organización o prestación de determinados servicios. No obstante, al establecerlo, el Estado habría vulnerado las competencias autonómicas al intervenir en un “ámbito de disponibilidad de las Comunidades Autónomas”. A su vez, la eficiencia no es el único valor de relevancia constitucional en la prestación de servicios públicos; las Comunidades Autónomas han de poder atender otros mediante estas estructuras desconcentradas.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transitoria cuarta de la Ley 27/2013. Vulneraría igualmente las competencias autonómicas al prever la disolución de las entidades locales menores que incumplan una obligación de presentación de cuentas. Desconocería que estas organizaciones forman parte del ámbito de disponibilidad de las Comunidades Autónomas. La previsión no hallaría cobertura tampoco en las reglas 13 y 14 del art. 149.1 CE; la supresión de estas entidades no comporta necesariamente una mejora de la eficiencia o sostenibilidad de la estructura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sexta de la Ley 27/2013, conforme a la que “las previsiones de esta Ley se aplicarán respetando la organización comarcal en aquellas Comunidades Autónomas cuyos estatutos de autonomía tenga atribuida expresamente la gestión de servicios supramunicipales”. Según el art. 42.1 LBRL, las Comunidades Autónomas pueden, en función de sus concretas atribuciones, constituir comarcas para la prestación de servicios de carácter supramunicipal. La disposición controvertida vendría a impedir que ello sea posible si no está expresamente previsto en el Estatuto de Autonomía de la Comunidad Autónoma. Quedaría salvaguardada la organización comarcal desarrollada efectivamente en las Comunidades Autónomas, pero no por ello el Estado habría dejado de desbordar el art. 149.1.18 CE. Habría vulnerado, en particular, las competencias estatutarias del Principado de Asturias. Conforme al art. 6 EAAst, esta Comunidad Autónoma se organiza territorialmente en municipios y comarcas. A su vez, en el marco de la competencia autonómica de desarrollo del régimen local (art. 10.1.2 EAAst), se ha regulado por ley el procedimiento de creación de comarcas en el Principado de Asturias (Ley 3/1986). Tal legislación no ha sido desarrollada. No podría serlo ya en modo alguno como consecuencia de la disposición adicional controvertida, que habría desconocido que este tipo de entidades “entran en cuanto a su propia existencia en el ámbito de disponibilidad de las Comunidades Autónomas que dispongan de la correspondiente competencia” por tratarse de entidades que cuentan con “un fuerte grado de ‘interiorización’ por lo que, en la determinación de sus niveles competenciales, el Estado no puede sino quedar al margen” (STC 214/1989, de 21 de diciembre). La previsión impugnada sería, pues, contraria a los arts. 6.1, 10.1.2 y 11.10 EAAst, así como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26.2 LBRL, en la redacción dada por el art. 1.9 de la Ley 27/2013, que atribuye facultades de coordinación a la diputación provincial respecto de determinados servicios municipales. Vulneraría las competencias estatutarias del Principado de Asturias (art. 11.10 EAAst), en cuanto Comunidad Autónoma que se subroga en la posición de la diputación, sin suprimirla (STC 32/1981, de 28 de julio, FJ 3). Tal vulneración resultaría del sometimiento del plan provincial a la aprobación del Ministerio de Hacienda y Administraciones Públicas; se instauraría con ello un control sobre la actividad autonómica no tipificado en la Constitución o el Estatuto de Autonomía. Habría vulneración de los principios de subsidiaridad y proximidad en la prestación del servicio, teniendo en cuenta la ausencia de pruebas en cuanto a que la atribución de la gestión de aquellos servicios a la Diputación comporte mejoras en términos de eficacia, eficiencia o sostenibilidad. A su vez, se habrían atribuido competencias a Principado de Asturias sin previsión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disposiciones transitorias primera a tercera de la Ley 27/2013, relativas a servicios que vienen prestando los entes locales en materia de salud (disposición transitoria primera), servicios sociales (disposición transitoria segunda) y servicios de inspección sanitaria (disposición transitoria tercera). La Ley 27/2013 atribuye ahora estas competencias y su ejercicio a las Comunidades Autónomas. Bajo determinadas condiciones o con sujeción a plazos de implantación (salud y servicios sociales), el Estado estaría utilizando una simple ley básica (ordinaria) para atribuir competencias a las Comunidades Autónomas. La Ley 27/2013 habría desconocido que las leyes básicas no pueden atribuir competencias a las Comunidades Autónomas, que las competencias autonómicas son las previstas en los Estatutos y que una ampliación extraestatutaria solo puede canalizarse en el marco del art. 150.2 CE. Vulnerarían por ello los arts. 149.1.18 y 150.2 CE, así como las competencias del Principado de Asturias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132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5 de junio de 2014, el Presidente del Congreso de los Diputados comunica el acuerdo de la Mesa de la Cámara de personarse en el proceso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escrito incluye una serie de consideraciones destinada a contextualizar la Ley 27/2013. Describe ampliamente el marco normativo europeo y nacional relativo a la estabilidad presupuestaria y a la sostenibilidad financiera. A la vista del art.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económicos, el Abogado del Estado se detiene en la incorporación de la exigencia de estabilidad presupuestaria en la Constitución (reforma del art.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de estabilidad presupuestaria y sostenibilidad financiera desarrolla el art. 135 CE 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proviene del plan nacional de reformas 2013 remitido por el Consejo de Ministros a la Unión Europea, que pretende perseverar en la corrección de los desequilibrios presupuestarios y sentar las bases de la recuperación económica y de la creación de empleo. La Ley 27/2013 no es desarrollo estricto del nuevo art.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14 y 13 del art.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 137 CE, por un lado, y del art. 149.1.18 CE, por otro, no son coextensos” (SSTC 11/1999, de 11 de febrero, FJ 2, y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149.1.14 CE, sobre hacienda general, cubriría específicamente la normativa estatal sobre las instituciones comunes a las distintas haciendas, la coordinación entre las haciendas estatal y locales y garantía de la suficiencia financiera de los entes locales prevista en el art. 137 CE (STC 233/1999, de 16 de diciembre, FJ 4, y las Sentencias que allí se citan). La estrecha vinculación entre el régimen local y la hacienda local justificaría que la Ley 27/2013 cite conjuntamente ambos títulos, tal como ha admitido la doctrina constitucional (STC 233/1999), sin perjuicio de que varias de sus disposiciones serían directamente incardinables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no cita específicamente el art. 149.1.13 CE, sobre ordenación general de la economía, pero, en realidad, sería el “título fundamental” que la habilita. La reforma no desarrolla estrictamente el nuevo art. 135 CE, pero se justifica primariamente en sus principios de estabilidad presupuestaria y sostenibilidad financiera. Trata, en particular, de ajustar el régimen jurídico básico de los entes locales a Ley Orgánica de estabilidad presupuestaria y sostenibilidad financiera.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 13, 14 y 18 del art. 149.1 CE (STC 134/2011, de 20 de julio); ahora está directamente habilitada por el art. 135 CE (STC 157/2011, de 18 de octubre, y otras). Por lo mismo, la Ley 27/2013 se apoyaría ahora de modo fundamental, dado el nuevo contexto constitucional, en el art.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que atraviesa el euro se habría hecho eco el Tribunal Constitucional (AATC 95/2011, de 21 de junio, FJ 5; 96/2911, de 21 de junio, FJ 5; 108/2011, de 5 de julio, FJ 5; 147/2012, de 16 de julio, FJ 6, y 160/2011,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y 141 CE). Tal garantía habría resultado “modalizada” por aquellos objetivos que, en consonancia con la política financiera de la Unión Europea, ha acogido el legislador constitucional; objetivos que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sintetiza la doctrina constitucional relativa a los límites de la autonomía financiera de las Comunidades Autónomas. Esa autonomía (arts. 2 y 137 CE) es una vertiente de la autonomía política, entendida como capacidad de elaborar políticas propias. Supone la plena disponibilidad de los ingresos sin condicionamientos indebidos. No obstante, tal autonomía no se establece constitucionalmente con carácter absoluto (STC 134/2011, FJ 8). El ejercicio de las competencias autonómicas de carácter financiero debe estar presidido por las directrices de cooperación y coordinación. A su vez, el Estado está legitimado para dictar legislación de estabilidad presupuestaria limitadora de la capacidad financiera y presupuestaria de las Comunidades Autónomas. Puede establecer, no solo límites presupuestarios en materia concretas, sino también topes generales a los propios presupuestos; la sujeción de las Comunidades Autónomas al principio de estabilidad presupuestaria es constitucionalmente legítima (STC 134/2011, FFJJ 7 y 8). El Estado es garante del “equilibrio económico general” y competente para “conseguir estabilidad económica, interna y externa” (STC 62/2001, FJ 4 y otras). En relación con los planes de saneamiento y control, son legítimos “los controles que resulte necesario ejercer para garantizar el cumplimiento de las facultades emanadas de las potestades de coordinación” (STC 134/2011, FFJJ 9-11). No es un control indebido la autorización estatal para que las Comunidades Autónomas puedan concertar operaciones de crédito en el extranjero, para emitir deuda pública o cualquier otra apelación al crédito público [STC 134/2011, FJ 8 e)]. A la vista de esta doctrina, resultaría innegable que la Ley Orgánica de estabilidad presupuestaria y sostenibilidad financiera es perfectamente 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a las impugnaciones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24 bis LBRL, introducido por el art. 1.7 de la Ley 27/2013, el Abogado del Estado cita doctrina constitucional para defender que la autonomía local (STC 214/1989) y las competencias autonómicas (STC 179/1985) no impiden una regulación básica ex art. 149.1.18 CE sobre entidades locales de segundo grado, sin perjuicio de que tal regulación deba ponderar los intereses locales y tener en cuenta que la decisión concreta de creación o supresión corresponde a las Comunidades Autónomas (SSTC 121/2012, de 5 de junio, 159/2001, de 5 de julio). La Ley 27/2013 se movería dentro de estos contornos: no supone creación ni extinción de las entidades inframunicipales; no altera su régimen competencial; establece su regulación por remisión a la que adopten las Comunidades Autónomas; conserva todas las entidades existentes (disposiciones transitorias cuarta y quinta de la Ley 27/2013), imponiendo solo una carga para la conservación de su personalidad jurídica (la remisión de las cuentas al órgano competente); aunque hurta de personalidad jurídica a las de nueva creación, no impone su desaparición, teniendo en cuenta que se trata de entidades que, según la doctrina constitucional, aun con personalidad jurídica, forman parte del municipio, que actuaría en régimen de descentralización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transitoria cuarta de la Ley 27/2013 no suprimiría las entidades inframunicipales existentes; impondría solo una carga: la remisión de las cuentas al órgano competente. El art. 149.1.14 CE habilita esta regulación, habida cuenta de que permite al Estado disciplinar las instituciones comunes a las distintas haciendas y las medidas para su coordinación y para subvenir a su suficiencia (STC 130/2013, FJ 4). La Comunidad Autónoma puede optar por conservarla como ente desconcentrado, asimilándola a las de nueva creación conforme al régimen diseñado en el art.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nada alega respecto de la impugnación de la disposición adicional sexta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26.2 LBRL, en la redacción dada por el art. 1.9 de la Ley 27/2013, no vulneraría las competencias del Principado de Asturias. Este Principado no puede resguardarse en su condición de Comunidad Autónoma para desatender las funciones que corresponden a las provincias, que quedan absorbidas y embebidas por la organización autonómica, pero no eliminadas, borradas o difuminadas. Por tanto, tal naturaleza no le autoriza para desentenderse de la legislación básica que el Estado promulga legítimamente en ejercicio de sus competencias. El recurso utilizaría argumentos contradictorios al defender la garantía institucional de la provincial frente al legislador estatal y al propio tiempo negar virtualidad a la coordinación de servicios, que es función propia y primigenia de la provincia, con invocación de la condición de Comunidad Autónoma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 amplio margen de configuración (SSTC 240/2006, 157/2011, 121/2012 y 108/2013) y en consonancia con la honda tradición de la provincia dentro del ordenamiento español (sucintamente resumida), ha optado por revitalizarla para la consecución de fines constitucionales (eficacia, eficiencia y estabilidad presupuestaria); favorece la gestión coordinada en detrimento de la gestión municipal aislada porque ello permite aplicar economías de escala y realizar una más eficiente asignación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persigue la mayor calidad de los servicios al menor costo posible mediante cuatro elementos. En primer lugar, la gestión coordinada está prevista para municipios de menos de 20.000 habitantes en el entendido de que los de mayor población disponen de una organización e ingresos que permiten la prestación eficiente de los servicios públicos. En segundo lugar, tal gestión se aplica a servicios concretos, tasados y predeterminados. Se trata de servicios que, por su configuración y naturaleza, admiten una eficaz prestación desde una perspectiva supramunicipal. La prestación coordinada de un máximo de seis servicios en modo alguno puede suponer un desapoderamiento de las competencias municipales. En tercer lugar, el criterio determinante de la aplicación de estas fórmulas de cooperación es el “coste efectivo”, como elemento objetivo, ponderable, fácilmente calculable y cierto de acuerdo con el art. 116 ter LBRL. En cuarto lugar, el legislador básico ha desarrollado el principio constitucional de coordinación (art. 103.1 CE) como técnica de acomodación de competencias en un Estado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el Abogado del Estado destaca que el art. 26.2 LBRL presupone y activa la intervención de tres Administraciones territoriales. En primer lugar, hay la intervención decisiva del propio municipio. El mecanismo solo actúa con su previo consentimiento y siempre de modo reversible; el municipio puede recuperar después la gestión aislada si acredita que está supondrá un menor coste efectivo. De modo que conservaría la facultad de “adherirse” o “descolgarse” de esta forma de coordinación por lo que su autonomía en nada resultaría afectada. En segundo lugar, hay la intervención de la Administración general del Estado; su competencia en materia de hacienda general y bases del régimen local se concreta aquí en la aprobación de la propuesta de la diputación, configurada como control de estricta legalidad que atiende exclusivamente al cumplimiento del criterio de suficiencia financiera precisado en el art. 7 de la Ley Orgánica de estabilidad presupuestaria y sostenibilidad financiera. Hay también el informe preceptivo de la Comunidad Autónoma que ostenta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disposiciones transitorias primera a tercera serían consecuencia de la nueva ordenación de las competencias propias de los entes locales. El legislador básico, por razones de racionalización y sostenibilidad financiera, estima que los entes locales no deben ejercer determinadas competencias. Tales disposiciones se limitan a suprimir de las competencias propias de los entes locales funciones en materias que estaban configuradas como tales en la anterior redacción del art. 25.2 LBRL. Esto no significa que el Estado haya atribuido la titularidad de estas funciones a las Comunidades Autónomas. Tales funciones (sobre servicios sociales, educación, asistencia sanitaria e inspección de sanidad) están ya estatutariamente atribuidas a las Comunidades Autónomas. Estas están llamadas a ejercer las funciones que les corresponden, que hasta ahora la legislación básica estatal había atribuido a las entidades locales. La Ley se limita a aplicar el régimen constitucional de distribución de competencias sin innovación alguna. La alternativa de que el Estado asumiera tales competencias sí sería inconstitucional. Por otra parte, la atribución de estas funciones se halla supeditada claramente en cada caso a lo que prevean las normas de financiación autonómica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octubre de 2016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del Servicio Jurídico del Principado de Asturias, en representación del Consejo de Gobierno de la Comunidad Autónoma, interpone recurso de inconstitucionalidad contra varios preceptos de la Ley 27/2013, de 27 de diciembre, de racionalización y sostenibilidad de la Administración local por vulneración, en resumen, del orden constitucional de distribución de competencias y del Estatuto de Autonomía para Asturias (EAAst). El Abogado del Estado se opone al recurso, razonando que las previsiones impugnadas se ajustan a la Constitución y al Estatuto de Autonomía para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18/2015, de 9 de julio, ha modificado la disposición transitoria séptima de la Ley 27/2013, que no ha sido impugnada en este proceso constitucional. En consecuencia, la reforma no ha afectado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las SSTC 41/2016, de 3 de marzo (“BOE” núm. 85, de 8 abril de 2016), y 111/2016, de 9 junio (“BOE” núm. 170, de 15 de julio de 2016), resolutorias de los recursos de inconstitucionalidad interpuestos, respectivamente, por la Asamblea de Extremadura (núm. 1792-2014) y la Junta de Andalucía (núm. 1959-2014).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previsiones que aquellas Sentencias han declarado ya inconstitucionales y nulas: las disposiciones transitorias primera, segunda y tercera, así como la cuarta.3, en cuanto al inciso “Decreto del órgano de gobierno de”, todas de la Ley 27/2013 [STC 41/2016, FFJJ 7 c) y 13]. También los siguientes incisos del art. 26.2 de la Ley 7/1985, de 2 de abril, reguladora de las bases del régimen local (LBRL), en la redacción dada por el art. 1.9 de la Ley 27/2013: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[STC 111/2016, FJ 12 d)]. De acuerdo con la consolidada doctrina constitucional [entre otras, STC 139/2011, de 14 de septiembre, FJ 3 b)], la expulsión del ordenamiento jurídico de estas previsiones determina la pérdida sobrevenida de objeto del presente recurso de inconstitucionalidad, en lo que se refiere a las impugnaciones dirigidas contra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Aquellos recursos de inconstitucionalidad y el presente suscitan controversias competenciales similares, en términos generales, por lo que la doctrina de las SSTC 41/2016 y 111/2016 sirve para responder a las impugnaciones aún subsistentes del recurso interpuesto por el Gobierno asturiano. De acuerdo con una pauta no infrecuente (por ejemplo, SSTC 138/2013, de 6 de junio, FJ 1, y 28/2016, de 18 de febrero, FJ 2), cabe dar aquí por reproducidos los fundamentos jurídicos que la STC 41/2016 dedica a la presentación de la Ley 27/2013 (FFJJ 2 y 10) y al encuadramiento de la controversia competencial (FFJJ 3 y 4), así como al significado de la garantía constitucional de la autonomía local (arts. 137, 140 y 141 CE) y al alcance de las bases del régimen local (art. 149.1.18 CE), singularmente en lo relativo a la organización y las competencias locales (FFJJ 5 y 9). También los fundamentos jurídicos de la STC 111/2016 relativos a las competencias provinciales (FFJJ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SSTC 41/2016 y 111/2016 han desestimado impugnaciones formuladas entonces por la Asamblea de Extremadura y la Junta de Andalucía que el presente recurso plantea en términos análogos; se refieren al mismo precepto y se basan en los mismos motivos. Es el caso del apartado 3 del art. 24 bis LBRL (introducido por el art. 1.7 de la Ley 27/2013) y de la disposición transitoria cuarta de la Ley 27/2013, a los que también este recurso imputa una extralimitación de la competencia que el art. 149.1.18 CE atribuye al Estado con vulneración correlativa de las competencias autonómicas sobre régimen local. A la vista de esta coincidencia objetiva, de acuerdo con la doctrina constitucional (STC 172/1998, de 23 de julio, FJ 2) y siguiendo la pauta de la STC 111/2016, FJ 2 c), procede desestimar estas impugnaciones por remisión a la STC 41/2016, FJ 7 b) y c), salvo en el extremo respecto del que se aprecia la pérdida sobrevenida de objeto —el inciso de la disposición transitoria cuarta.3 de la Ley 27/2013 anulado por la STC 41/2016,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igualmente desestimar por remisión un motivo de inconstitucionalidad dirigido contra el art. 24 bis.1, en la redacción dada por el art. 1.7 de la Ley 27/2013 [STC 41/2016, FJ 7 b)]. No obstante, según razonaremos con detenimiento después, el Letrado del Servicio Jurídico del Principado de Asturias, al formular esta impugnación, ha añadido otro motivo que requerirá la correspondiente respuesta. Del mismo modo, el presente recurso, al igual que el formulado en su día por la Junta de Andalucía, plantea la impugnación de los extremos todavía subsistentes del nuevo art. 26.2 LBRL, pero basándola en diferentes razones. Por tanto, no cabe la resolución por remisión. A su vez, se recurre ahora por vez primera la disposición adicional sexta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de Gobierno del Principado de Asturias impugna el apartado 1 del 24 bis LBRL, introducido por el art. 1.7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24 bis.1 LBRL establece un determinado régimen para los entes de ámbito inframunicipal creados a partir de la entrada en vigor de la reforma (o, más precisamente, los que no estuvieran en proceso de constitución antes del 1 de enero de 2013: disposición transitoria quinta de la Ley 27/2013). En particular, configura estas organizaciones como entes desconcentrados del municipio sin el carácter de entidad local y sin personalidad jurídica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de inconstitucionalidad, el art. 24 bis.1 LBRL plantea dos órdenes de problemas. En primer lugar, refiriéndose a organizaciones locales que entran dentro del ámbito de disponibilidad de las Comunidades Autónomas, no hallaría cobertura en el art. 149.1.18 CE, vulnerando en consecuencia las competencias del Principado de Asturias. En segundo lugar, vulneraría una norma material sobre organización territorial autonómica incluida en el Estatuto de Autonomía para Asturias: el art. 6.1, que reconoce expresamente la personalidad jurídica de las denominadas “parroquias rurales”. El recurrente considera que el legislador básico estatal está obligado a respetar el Derecho local estatutario; no habiéndolo hecho en este caso, debería declararse la inconstitucionalidad y nulidad del inciso “que carecerán de personalidad jurídica” del art. 24 bis, apartado 1,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impugnación fue ya abordada en la STC 41/2016, que la desestimó, afirmando el carácter de legislación básica en virtud del art. 149.1.18 CE de la previsión recurrida. Corresponde, pues, volver a desestimarla ahora por remisión al fundamento jurídico 7 b) de esa Sentencia, según acabamos de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problema de constitucionalidad ha sido planteado por vez primera en este recurso, por lo que habremos de resolverlo específicamente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un lado, el “Estatuto, en tanto que ‘norma institucional básica’ (art. 147.1 CE), puede contener las ‘líneas fundamentales o la regulación esencial’ del régimen local en el ámbito territorial la Comunidad Autónoma’” [SSTC 41/2016, FJ 3 a); 31/2010, de 28 de junio, FFJJ 36 y 37, y 103/2013, de 25 de abril, FJ 4]; también la STC 132/2012, de 19 de junio, FJ 3, en relación con el “régimen esencial de la organización de los consejos insulares” incluido en el Estatuto de Autonomía de les Illes Balears. Por otro lado, la legislación básica puede, en cuanto tal, establecer un “denominador común normativo” [entre otras, STC 141/2014, de 11 de septiembre, FJ 8 a)], en este caso en materia de régimen local en virtud del art. 149.1.18 CE (STC 214/1989, de 21 de septiembre, FJ 1). Bajo esta perspectiva, puede concebirse el art. 6.1 EAAst, en una primera aproximación, como una línea fundamental o regulación esencial del régimen local del Principado de Asturias; y el art. 24 bis LBRL, como una norma formal y materialmente básica adoptada para ser aplicada en todas las Comunidades Autónomas [sobre esto último: STC 41/2016,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han establecido regulaciones radicalmente inconciliables: si el art. 6.1 EAAst garantiza la personalidad jurídica a los entes locales menores del Principado de Asturias (denominados “parroquias rurales”), el art. 24 bis LBRL se la niega a los de todas las Comunidades Autónomas, incluidos los del Principado de Asturias, configurándolos como organizaciones municipales desconcentradas. De modo que, como consecuencia de la Ley 27/2013, se ha producido una contradicción sobrevenida entre la legislación básica estatal —dictada legítimamente al amparo del art. 149.1.18 CE como mínimo común denominador normativo— y una norma estatutaria —que venía expresando una línea fundamental del régimen local de una concreta Comunidad Autónoma (art. 147.1 CE), coincidente, por lo demás, con la directriz básica aplicada hasta ahora en todo el territorio nacional (art. 45 LBRL, derogado por el art. 1.14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el Estatuto puede contener las líneas fundamentales del régimen local en el ámbito territorial la Comunidad Autónoma, “pero solo con el fin de ‘vincular al legislador autonómico’ y respetando ‘en todo caso la competencia básica que al Estado corresponde en la materia en virtud de la reserva del art. 149.1.18 CE, por cuanto la expresión ‘bases del régimen jurídico de las Administraciones públicas’ engloba a las Administraciones locales’” [SSTC 41/2016, FJ 3 a); 31/2010, FFJJ 36 y 37, y 103/2013, FJ 4]. De modo que el Derecho local estatutario no puede vincular al legislador estatal del régimen local ni “impedir de ninguna manera el ejercicio de esa competencia estatal” (STC 31/2010, FJ 37). Al contrario, es este el que debe respetar “en todo caso la competencia básica que al Estado corresponde”. Consecuentemente, una norma estatutaria de régimen local no puede funcionar como límite al ejercicio de la competencia constitucionalmente atribuida al Estado en esta materia (art. 149.1.18 CE). No puede imposibilitar que este reforme las bases —en este caso para negar el atributo de la personalidad jurídica a los entes de ámbito inframunicipal— ni suponer que las nuevas bases dejen de operar como mínimo común normativo, esto es, que sean inaplicables en una Comunidad Autónoma por virtud del Derecho local incluido en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31/2010 descartó que pudiera estimarse que el capítulo IV, “El Gobierno Local”, del título II, del Estatuto de Autonomía de Cataluña (en la redacción dada por la Ley Orgánica 6/2006, de 19 de julio), “transgreda la reserva estatutaria ex art. 147.2 CE, ni que impida el ejercicio de la competencia estatal en la materia”; una regulación estatutaria de “líneas fundamentales” del régimen local autonómico puede adoptarse “con el fin de vincular al legislador autonómico” y respetando “en todo caso”, “como es obvio”, “la competencia básica que al Estado corresponde en la materia” (FJ 36). Señaló, en particular, que el art. 84.2 del Estatuto de Autonomía de Cataluña (que enumera materias sobre las que los “gobiernos locales” han de tener en todo caso competencias propias) constituye una previsión estatutaria que, en cuanto tal, está exclusivamente “dirigida al legislador autonómico”, descartando que “desplace o impida el ejercicio de la competencia estatal en materia de bases de régimen local ex art. 149.1.18 CE”; la “falta de expresa mención en el precepto estatutario a la competencia estatal ex art. 149.1.18 CE ni vicia dicho precepto de inconstitucionalidad, ni puede impedir de ninguna manera el ejercicio de esa competencia estatal” (FJ 37). No se producía entonces la evidente contradicción que concurre en el presente caso entre legislaciones básica y estatutaria, por lo que podía afirmarse lo siguiente: “el elenco competencial que el precepto estatutario dispone que tiene que corresponder a los gobiernos locales en modo alguno sustituye ni desplaza, sino que, en su caso, se superpone, a los principios o bases que dicte el Estado sobre las competencias locales en el ejercicio de la competencia constitucionalmente reservada por el art. 149.1.18 CE” (FJ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41/2016 volvió sobre esta doctrina al resolver la impugnación dirigida contra el nuevo régimen básico de las competencias municipales (arts. 7.4 y 25 LBRL, en la redacción dada por los apartados 3 y 8 del art. 1 de la Ley 27/2013). Según el recurso de la Asamblea de Extremadura, tal régimen incurriría en inconstitucionalidad por cercenar las atribuciones garantizadas a los municipios en algunos Estatutos de Autonomía. Frente a ello, la indicada Sentencia declaró: “por otra parte, es verdad que, tal como destaca el recurso de inconstitucionalidad, el Estatuto de Autonomía, en tanto que ‘norma institucional básica’ (art. 147.1 CE), puede contener las ‘líneas fundamentales o la regulación esencial’ del régimen local en el ámbito territorial la Comunidad Autónoma. Ahora bien, también hemos dicho que esa regulación esencial vincula solo al legislador autonómico y únicamente en la medida en que no contradiga el régimen dictado en ejercicio de ‘la competencia básica que al Estado corresponde en la materia en virtud de la reserva del art. 149.1.18 CE’ (SSTC 31/2010, de 28 de junio, FJ 36, y 103/2013,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concluir que el inciso impugnado no ha incurrido en inconstitucionalidad por negar el atributo de la personalidad jurídica a los entes de ámbito inframunicipal, resultando plenamente aplicable en el ámbito territorial del Principado de Asturias. No obstante, no está de más recordar que “la sola previsión de que estos entes carecen de personalidad jurídica no elimina amplios espacios de desarrollo autonómico y autoorganización local. La personalidad jurídica propia o régimen de descentralización administrativa no implica un estatuto sustancialmente distinto, que garantice amplias esferas de autonomía a las entidades locales menores… Ciertamente, la ausencia de personalidad jurídica propia remite al sistema de imputación y control de actos característico de las relaciones interorgánicas. No obstante, las concretas tareas que correspondan a estas ‘formas de organización desconcentrada’ así como las facultades de control y supervisión que el municipio desarrolle respecto de ellas siguen dependiendo esencialmente de las opciones organizativas que adopten los propios entes locales en el marco de la legislación autonómica sobre régimen local y de las bases ex art. 149.1.18 CE” [STC 41/2016,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la impugnación del apartado 1 del art. 24 bis LBRL, introducido por el art. 1.7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Servicio Jurídico del Principado de Asturias impugna la disposición adicional sexta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esta disposición, “las previsiones de esta Ley se aplicarán respetando la organización comarcal en aquellas Comunidades Autónomas cuyos estatutos de autonomía tenga atribuida expresamente la gestión de servicios supramunicipales”.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la disposición adicional sexta de la Ley 27/2013 vendría a impedir que las Comunidades Autónomas instauren una organización comarcal si esta no está expresamente prevista en su Estatuto de Autonomía como ámbito de gestión supramunicipal. El Estado habría vulnerado con ello las competencias estatutarias del Principado de Asturias (art. 10.1.2 EAAst). Se insiste en que, dentro del marco de sus atribuciones, esta Comunidad Autónoma ha regulado por ley el procedimiento de creación de comarcas (Ley 3/1986). Tal legislación no ha sido desarrollada, pero, según el Letrado autonómico, no podrá serlo ya en modo alguno como consecuencia de la disposición adicional controvertida, que habría desconocido que estas entidades “entran en cuanto a su propia existencia en el ámbito de disponibilidad de las Comunidades Autónomas que dispongan de la correspondiente competencia” por tratarse de entidades que cuentan con “un fuerte grado de ‘interiorización’ por lo que, en la determinación de sus niveles competenciales, el Estado no puede sino quedar al margen” [STC 214/1989, FFJJ 4 b) y 15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Solo en algunas Comunidades Autónomas se han desarrollado procesos de autoorganización territorial traducidos en la instauración efectiva de entidades locales intermedias, de segundo grado o de ámbito supramunicipal. Es el caso de las comarcas de Aragón y Cataluña, las comarcas o cuadrillas del territorio histórico de Álava y la comarca castellanoleonesa de El Bierzo. La disposición adicional sexta de la Ley 27/2013, a fin de aislar cuáles son las “organizaciones comarcales” que deben necesariamente “respetarse” en la aplicación de la Ley, toma como referencia, no si la comarca está efectivamente implantada, sino si está estatutariamente prevista como nivel de gestión supramunicipal. Para determinar el significado y alcance de este criterio y, en términos generales, del conjunto de la disposición, hay que realizar tres acotaciones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indicada disposición afecta claramente a la Comunidad Autónoma de Aragón, habida cuenta de que su Estatuto establece expresamente lo siguiente: “las comarcas tienen a su cargo la prestación de funciones y servicios y la gestión de actividades de ámbito supramunicipal, representando los intereses de la población y territorio comarcales en defensa de una mayor solidaridad y equilibrio territorial” (artículo 83.2). Consecuentemente, hay que entender, de acuerdo con la disposición impugnada, que las previsiones de la Ley 27/2013 “se aplicarán respetando la organización comarcal” aragonesa.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demás Estatutos de Autonomía no contienen previsiones con este preciso tenor, pero muchos hacen referencia a la comarca como entidad local, estableciéndola directamente como peldaño de la organización territorial o, en todo caso, permitiendo que la legislación autonómica la configure como ámbito de gestión supramunicipal. Así, los adoptados para Andalucía (artículo 97), Cantabria (artículo 2.3), Castilla-La Mancha [artículo 29.2 a)], Castilla y León (artículo 46), Cataluña (artículos 2.3 y 92), Comunidad Valenciana (artículo 65.2), Extremadura (artículo 57), La Rioja (artículo 5.2), Principado de Asturias (artículo 6.1) y Región de Murcia (artículo 3.2). Otros Estatutos no emplean la denominación, pero admiten expresamente la posibilidad de entidades locales supramunicipales: Comunidad de Madrid (artículo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Estatutos, al establecer (o prever la posibilidad de) un nivel local intermedio —supramunicipal e infraprovincial—, están claramente estableciendo (o previendo) que ese nivel pueda llevar a cabo una “gestión de servicios supramunicipales”. Consecuentemente, cabe interpretar que la disposición adicional sexta de la Ley 27/2013 afecta también a estas Comunidades Autónomas, es decir, que las previsiones de la reforma del régimen local “se aplicarán respetando la organización comarcal” de aquellas Comunidades Autónomas que la tengan “expresamente” prevista en sus Estatutos, con independencia de que haya sido o no desarrollada efectivamente. Bajo esta óptica, la disposición adicional sexta de la Ley 27/2013 no impide que el Principado de Asturias decida en el futuro crear comarcas para atribuirles ámbitos de gestión supramunicipal.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no puede perderse de vista que el régimen local no forma parte del contenido necesario del Estatuto de Autonomía (art. 147.2 CE) ni que, si el legislador estatutario optase por incluir dentro de él regulaciones a este respecto, debe limitarlas a unas líneas fundamentales o esenciales [SSTC 31/2010, FFJJ 36 y 37; 103/2013, FJ 4, y 41/2016, FJ 3 a)]. De modo que la organización comarcal, esté o no prevista en los Estatutos, puede ser objeto de legislación estrictamente autonómica. Tal legislación es, precisamente, la que puede establecer una regulación completa de la comarca, no limitada a las líneas fundamentales, aunque, naturalmente, respetando la legislación estatutaria y básica a este respecto, si es que existe. A su vez, hay que tener en cuenta que en este preciso ámbito la competencia básica estatal derivada del art. 149.1.18.ª CE es más estrecha y, por tanto, que la competencia estatutaria de las Comunidades Autónomas es más amplia: “las ‘entidades locales no necesarias o contingentes’, en general, y las de segundo grado (p. ej., comarcas), en particular”, “están dotadas de ‘un fuerte grado de interiorización autonómica’, sin que les alcance directamente la garantía constitucional de la autonomía municipal (art. 140 CE), provincial (art. 141.2 CE) e insular (art. 141.4 CE)”; “entran en cuanto a su propia existencia en el ámbito de disponibilidad de las Comunidades Autónomas que dispongan de la correspondiente competencia” [STC 41/2016, FJ 5, citando la STC 214/1989, FFJJ 4 b) y 15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puede interpretarse que la disposición adicional sexta de la Ley 27/2013 supone que las previsiones de la reforma local de 2013 “se aplicarán respetando” toda “organización comarcal” estatutariamente prevista, sin por ello negar o perjudicar la que, no prevista en los Estatutos, pueda eventualmente llegar a instaurar cualquier Comunidad Autónoma al amparo de su competencia en orden a la creación y regulación de entidades locales de segundo grado. Téngase en cuenta a este respecto que la previsión controvertida está formulada en positivo, como cláusula de salvaguarda de las organizaciones comarcales estatutariamente previstas. No cabe interpretarla en negativo, como fuerte restricción a la autonomía de las Comunidades Autónomas traducida en la imposibilidad de ejercer sus amplias competencias en orden a la regulación y creación de entidades caracterizadas por “un fuerte grado de interiorización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Abona esta interpretación la circunstancia de que la Ley 27/2013 no haya modificado el art. 42 LBRL, conforme al cual “las Comunidades Autónomas, de acuerdo con lo dispuesto en sus respectivos Estatutos, podrán crear en su territorio comarcas u otras Entidades que agrupen varios Municipios, cuyas características determinen intereses comunes precisados de una gestión propia o demanden la prestación de servicios de dicho ámbito” (apartado 1); “las Leyes de las Comunidades Autónomas determinarán el ámbito territorial de las comarcas, la composición y el funcionamiento de sus órganos de gobierno, que serán representativos de los Ayuntamientos que agrupen, así como las competencias y recursos económicos que, en todo caso, se les asignen” (apartado 3); “la creación de las Comarcas no podrá suponer la pérdida por los Municipios de la competencia para prestar los servicios enumerados en el artículo 26, ni privar a los mismos de toda intervención en cada una de las materias enumeradas en el apartado 2 del artículo 25”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ambigüedad de la disposición adicional sexta de la Ley 27/2013 podría dar cabida a la interpretación propuesta por el Letrado del servicio jurídico del Principado de Asturias. No obstante, tal como razona el Letrado autonómico, esa interpretación daría lugar a que el precepto impugnado incurriese en inconstitucionalidad, por lo que debe excluirse en beneficio de la aquí razonada, que compatibiliza la disposición adicional sexta de la Ley 27/2013 con el sistema de distribución competencial. Así lo ha señalado la STC 41/2016, FJ 12 d), respecto de otro precepto de la Ley 27/2013, de acuerdo con una consolidada doctrina sobre las condiciones en que es viable la “interpretación conforme” como regla de prevalencia de unas interpretaciones sobre otras: “el párrafo segundo del art. 36.2 a) LBRL sería contrario a los arts. 137 y 140 CE si fuera interpretado como previsión que atribuye por sí unas facultades de coordinación cuyo concreto alcance hubiera de fijar la propia diputación a través de los correspondientes planes de cooperación. Sin embargo, está interpretación ha de excluirse, habida cuenta de que hay otra que, siendo igualmente razonable, resulta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desestimar la impugnación de la disposición adicional sexta de la Ley 27/2013. La interpretación de conformidad aquí realizada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del Principado de Asturias impugna el art. 26.2 LBRL, en la redacción dada por el art. 1.9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hemos recordado, el art. 26.2 LBRL fue objeto de la STC 111/2016, FJ 12 d), que declaró la inconstitucionalidad y nulidad de sus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Tras esta depuración, el tenor del precepto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municipios con población inferior a 20.000 habitantes será la Diputación provincial o entidad equivalente la que coordinará la prestación de los siguientes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Recogida y tratamiento de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Abastecimiento de agua potable a domicilio y evacuación y tratamiento de aguas residuales.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Limpieza 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Acceso a los núcleos de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Pavimentación de vías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Alumbrado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coordinar la citada prestación de servicios la Diputación propondrá, con la conformidad de los municipios afectados, la forma de prestación, consistente en la prestación directa por la Diputación o la implantación de fórmulas de gestión compartida a través de consorcios, mancomunidades u otras fórmulas.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municipio justifique ante la Diputación que puede prestar estos servicios con un coste efectivo menor que el derivado de la forma de gestión propuesta por la Diputación provincial o entidad equivalente, el municipio podrá asumir la prestación y coordinación de estos servicios si la Diputación lo considera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Diputación o entidad equivalente asuma la prestación de estos servicios repercutirá a los municipios el coste efectivo del servicio en función de su uso. Si estos servicios estuvieran financiados por tasas y asume su prestación la Diputación o entidad equivalente, será a esta a quien vaya destinada la tasa para la financiación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razona sobre dos órdenes de problemas. En primer lugar, el nuevo art. 26.2 LBRL vulneraría la autonomía política de Principado de Asturias (art. 11.10 EAAst), en cuanto Comunidad Autónoma uniprovincial que se subroga en la posición de la diputación, sin suprimirla (STC 32/1981, de 28 de julio, FJ 3). La razón de ello es que al someter el plan provincial a la aprobación del Ministerio de Hacienda y Administraciones Públicas, habría instaurado un control constitucionalmente imprevisto sobre la actividad de las Comunidades Autónomas uniprovinciales. En segundo lugar, afirma genéricamente que el art. 26.2 LBRL atribuye competencias al Principado de Asturias sin previsión de financiación y con vulneración de los principios de subsidiaridad y proximidad en la prestación del servicio, teniendo en cuenta la ausencia de pruebas en cuanto a que la atribución de la gestión de aquellos servicios a la Diputación comporte mejoras en términos de eficacia, eficiencia o sostenibilidad.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impugnación ha perdido objeto, según se razona en el fundamento jurídico 2 a) de esta Sentencia; se dirige específicamente a los dos incisos que la STC 111/2016, FJ 12 d) ha declarado inconstitucionales y nulos. No ocurre lo mismo respecto de los otros motivos, que pasamos a abordar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motivos de impugnación subsistentes parten de la premisa de que el nuevo art. 26.2 LBRL, a fin de disminuir los costes efectivos de determinados servicios en municipios de menos de 20 000 habitantes, obliga a las diputaciones (y, con ello, a las Comunidades Autónomas uniprovinciales) a ejercer relevantes competencias, señaladamente la gestión directa de aquellos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 26.2 LBRL se refiere a una variedad muy indefinida de fórmulas de cooperación o “coordinación voluntaria” que puede “proponer” la diputación provincial y aceptar el municipio titular del servicio. Ello implica, correlativamente, que la diputación no tiene la obligación de asumir la gestión de aquellos servicios y que, en todo caso, el municipio puede rechazar las fórmulas de cooperación que aquella pueda proponerle. Así resultaba de su tenor originario y resulta aún más claramente ahora, una vez que la STC 111/2016, FJ 12 d) ha eliminado la intervención del Ministerio de Hacienda y Administraciones Públicas destinada a reducir costes.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indicada Sentencia, tras señalar que la previsión impugnada “llama ‘coordinación’ a fórmulas que la doctrina constitucional denomina ‘colaboración’, ‘cooperación’ o, todo lo más, ‘coordinación voluntaria’”, insiste en que, conforme al art. 26.2 LBRL, el “municipio puede dar o no su conformidad a un plan que condicionará el modo en que ha de gestionar sus servicios”; el “criterio determinante no es el económico, tampoco la decisión de otras Administraciones públicas; es la voluntad municipal misma”; la pérdida de autonomía que, en efecto, puede llegar a sufrir el municipio será en todo caso “consentida” porque se producirá solo eventualmente y únicamente si la acepta el ayuntamiento o, lo que es lo mismo, “con la conformidad de los municipios afectados”. Se añade la precisión siguiente: “hay que hacer notar que la competencia provincial regulada en el art. 26.2 LBRL se corresponde con la sucintamente enunciada en el art. 36.1 h) LBRL, cuyo tenor tampoco arroja dudas sobre el carácter voluntario o consentido de estas fórmulas (llamadas) de coordinación: ‘Cuando la Diputación detecte que estos costes son superiores a los de los servicios coordinados o prestados por ella, ofrecerá a los municipios su colaboración para una gestión coordinada más eficiente de los servicios que permita reducir estos costes’. Por lo demás, conectan directamente con estas fórmulas voluntarias los estímulos financieros previstos en la disposición adicional 15, sobre ‘gestión integrada o coordinada de servicios’, del texto refundido de la Ley de haciendas locales, en la redacción dada por el art. 2.5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pudiendo aceptarse la interpretación del art. 26.2 LBRL (en la redacción dada por el art. 1.9 de la Ley 27/2013) sobre la que el recurso razona la impugnación, no pueden tampoco acogerse los indicados motivos de inconstitucionalidad. Corresponde, en consecuencia, desestimar esta impugnación en los extremos en que subsistía por no estar afectada de pérdida sobrevenida de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 las disposiciones transitorias primera, segunda, tercera y cuarta.3, en cuanto al inciso “Decreto del órgano de gobierno de”, todas de la Ley 27/2013, de 27 de diciembre, de racionalización y sostenibilidad de la Administración local, así como de los siguientes incisos del art. 26.2 de la Ley 7/1985, de 2 de abril, reguladora de las bases del régimen local, en la redacción dada por el art. 1.9 de la Ley 27/2013: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sexta de la Ley 27/2013 no es inconstitucional, interpretada en los términos del fundamento jurídico 4 b)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