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16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5951-2014, interpuesto por el Consejo de Gobierno del Principado de Asturias contra los arts. 4 y 7 del Real Decreto-ley 8/2014, de 4 de julio, de aprobación de medidas urgentes para el crecimiento, la competitividad y la eficiencia.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octubre de 2014 el Letrado del Servicio Jurídico del Principado de Asturias, en la representación que ostenta del Consejo de Gobierno de esa Comunidad Autónoma, interpuso recurso de inconstitucionalidad contra los arts. 4 y 7 del Real Decreto-ley 8/2014, de 4 de julio,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cumplimiento de los requisitos procesales para la interposición del recurso, el Letrado autonómico señala que los preceptos constitucionales que se consideran vulnerados son el art. 86.1 y 149.1.13 CE, así como el art. 10.1.14 del Estatuto de Autonomía del Principado de Asturias, relativo a la competencia autonómica en materia de comercio interior. Reproduce a continuación las normas impugnadas, señalando que de su contenido se desprende que se impone la declaración de un régimen de plena libertad horaria para las grandes superficies y los establecimientos pertenecientes a grandes empresas en los municipios de Oviedo y Gijón (incluidos entre las diez nuevas ciudades que se enumeran en el anexo I del Real Decreto-ley 8/2014), sin que la Comunidad Autónoma disponga per se de margen alguno para modular su aplicación, por cuanto las limitaciones “de carácter temporal o territorial” (ligadas a una zona del municipio o a la temporada turística) se vinculan a la previa propuesta del Ayuntamiento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describe las sucesivas modificaciones que se han producido en torno al concepto de zona de gran afluencia turística a efectos comerciales, concluyendo que, en este régimen “se asiste a una paulatina intervención del Estado de intensidad creciente, con el consiguiente estrechamiento del campo reconocido a las Comunidades Autónomas”. La demanda alega que la nueva regulación introducida por el Real Decreto-ley impugnado configura la competencia autonómica como una potestad de control de la iniciativa municipal, de alcance limitado. La Comunidad Autónoma ha de verificar si las restricciones que proponga la Administración local están suficientemente justificadas. La Administración autonómica carece de la iniciativa para determinar ese tipo de zonas y su intervención se circunscribe, o bien a aceptar por silencio la delimitación que proponga el Ayuntamiento, o bien a asumir que la zona coincida con la totalidad del municipio durante todo el año si juzga injustificada una propuesta con un deslinde que no alcance a todo el término municipal o una extensión temporal inferior a la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Letrado autonómico sostiene que, invocando el art. 149.1.13 CE, el Estado dispone como regla la libertad de horarios en las zonas de gran afluencia turística; zonas descritas en unos casos con criterios vagos o indeterminados que dejan margen de apreciación y en otros con criterios rígidos y cerrados. La excepción o modulación territorial y temporal de esta regla queda en manos de los Ayuntamientos con la intervención, limitada y con resultados reglados,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del art. 86.1 CE, la demanda recoge la doctrina constitucional en la materia argumentando que, en este caso, no se ha incorporado una justificación suficiente que permita advertir la concurrencia del presupuesto habilitante, en la medida en que no se aprecia conexión de sentido entre la situación de urgencia que detalla el Gobierno y la norma adoptada en materia de declaración de zonas de gran afluencia turística y tampoco se ha justificado cuáles serían los perjuicios u obstáculos que, para la consecución de los objetivos perseguidos, se seguirían de su tramitación por el procedimiento legislativo. Tampoco estamos ante lo que la doctrina constitucional ha calificado de “coyunturas económicas problemáticas”. En este sentido, entiende que hay una clara expansión económica del turismo y las medidas adoptadas lo son únicamente para proceder a su maximización y rentabilización o mejora, pero no para afrontar una situación problemática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Principado de Asturias también reprocha a los preceptos impugnados la extralimitación en el ejercicio de las competencias estatales con la correlativa vulneración de las competencias autonómicas en materia de comercio interior. Para justificar dicha vulneración se parte de la doctrina constitucional en materia de bases y coordinación de la planificación económica y comercio interior, pues la norma impugnada pretende ampararse en el art. 149.1.13 CE. Sostiene que la dinámica constitucional bases-desarrollo en esta materia implica que las primeras no pueden suponer una regulación exhaustiva o detallada que consuma el margen de decisión política reservado al operador autonómico. Igualmente, las bases han de tener una incidencia directa y significativa sobre la actividad económica general. La demanda cita específicamente la doctrina constitucional en materia de comercio interior, señalando que de ella se deriva la necesidad de un examen de la norma estatal y de la finalidad que persigue, habiendo avalado el Tribunal Constitucional la consistente en estimular la actividad en el sector de la distribución, lo que puede legítimamente perseguirse a través del establecimiento de un régimen de libertad de actividades por tratarse de una medida de política económica general que responde a fines de interés general basados en la búsqueda de un mayor dinamismo de las empresas distribuidoras y una mayor flexibilización de la oferta comercial. Así, en un esquema competencial bases-desarrollo, la norma estatal se reconduce a la fijación de bases que deben venir delimitadas por dos criterios: (i) la acreditación de una incidencia directa y significativa sobre la actividad económica general, y (ii) la garantía de espacio normativo suficiente a las Comunidades Autónomas para que puedan desarrollar sus competencias normativas y de ejecución en materia de comercio minorista y horarios comerciales, y, en suma, establecer una política propia en materia de comercio adaptada a sus características peculiares.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no se ajustarían a tales criterios, ya que, a diferencia de regulaciones anteriores, agotan el régimen de horarios comerciales para determinadas porciones del territorio y rigen sin margen de modulación para todos los municipios con más de 100.000 habitantes que hayan registrado más de 600.000 pernoctaciones en el año inmediatamente anterior, reservando a la iniciativa local la restricción de la libertad horaria a ciertos periodos o a determinadas partes del territorio municipal. En la práctica se viene a fijar un régimen de libertad horaria en las dos principales aglomeraciones urbanas del Principado de Asturias sin que la Comunidad Autónoma disponga de margen alguno de modulación. Lo que se introduce con la reforma operada es la libertad plena de horarios para los grandes establecimientos o cadenas radicados en los municipios que alcancen ciertos umbrales de población y pernoctaciones. Este efecto revela que nos hallamos ante una medida específica o de detalle que no encaja en el concepto de bases ni guarda la necesaria relación con los fines en los que se sustenta la competencia estatal. Se advierte así que el régimen de libertad plena invade competencias autonómicas, no por su vertiente de libertad, desregulación o no intervención, sino por su carácter detallado, pues lo que se arbitra es la libertad horaria para los grandes establecimientos físicamente ubicados en los municipios más populosos, agotando la regulación de la materia en un espacio territorial singularmente relevante, sin que se reconozca a las Comunidades Autónomas un margen para adaptar ese régimen a su territorio, tal como explícitamente se contemplaba en la Ley de horarios comerciales antes de la reforma y se señaló por la doctrina constitucional (con cita de la STC 88/2010). La nueva regulación incurre así en un exceso competencial, pues el régimen singular de libertad horaria se sustrae al operador autonómico, al que ya no se vincula ni la determinación de los municipios (en cuanto incorporados nominatim al anexo), ni las modulaciones espaciales o temporales del régimen, que se someten a la iniciativa local. La extrema especificidad de la medida introducida conduce a estimarla ajena a la noción de bases, que atiende al minimum necesario o conveniente para el correcto funcionamiento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demanda concluye apreciando que los arts. 4 y 7 del Real Decreto-ley 8/2014, de 4 de julio desconocen la competencia autonómica en materia de comercio interior ex art. 10.1.14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octubre de 2014, el Pleno, a propuesta de la Sección Primera, acordó admitir a trámite el recurso de inconstitucionalidad promovido por el Consejo de Gobierno del Principado de Asturias y, en su representación y defensa, por el Letrado del mismo, contra los arts. 4 y 7 del Real Decreto-ley 8/2014, de 4 de julio, de aprobación de medidas urgentes para el crecimiento, la competitividad y la eficiencia;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con fecha 29 de octubre de 2014, el Presidente del Senado comunicó el acuerdo de la Mesa de la Cámara de personarse en el procedimiento y ofrecer su colaboración a los efectos del art. 88.1 LOTC. Lo propio hizo el Presidente del Congreso de los Diputados por escrito que tuvo entrada en este Tribunal el día 30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30 de octubre de 2014, el Abogado del Estado se personó en nombre del Gobierno solicitando una prórroga en el plazo para la formulación de alegaciones, prórroga que le fue concedida por providencia del Pleno de 31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25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existencia del presupuesto habilitante exigido por el art. 86.1 CE, el Abogado del Estado recuerda cuál es la doctrina constitucional en la materia, para proceder, acto seguido, a especificar cuál es el que concurre en este caso, y establecer que el mismo se encuentra debida y extensamente expuesto en la exposición de motivos y en el discurso de convalidación ante el Congreso de la Vicepresidenta del Gobierno. Por lo que se refiere a la exposición de motivos, en ella se alude a la decisión adoptada el 6 junio por el Consejo de Ministros que aprobó el plan de “medidas para el crecimiento, la competitividad y la eficiencia, que contempla un paquete de medidas con el objetivo de saneamiento fiscal, que impulsen el crecimiento y la competitividad presente y futura de la economía y la financiación empresarial”, siendo el decreto-ley la norma que articula las medidas legislativas necesarias para la ejecución del plan. Todas ellas se dirigen a aumentar la competitividad y fomentar el funcionamiento eficiente de los mercados y mejorar la financiación, así como a optimizar la empleabilidad en el contexto de la superación de una notoria e intensa crisis económica, organizándose las medidas en torno a tres ejes: fomentar la competitividad y el funcionamiento eficiente de los mercados; mejorar el acceso a la financiación; y fomentar la empleabilidad y la ocupación, avanzándose además algunas medidas de la reforma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arts. 4 y 7, afirma que se trata de fomentar la competitividad y el funcionamiento eficiente de los mercados. En esos preceptos se encuadran las medidas en el ámbito de la liberalización comercial, así como las destinadas aumentar eficiencia y competitividad de las infraestructuras portuarias y aeroportuarias. Por lo que hace a la liberalización de los horarios, la adopción de esta medida se explica con el objetivo de dinamizar el sector comercial y favorecer la reactivación económica. Por su parte, en relación con las disposiciones que aluden a la simplificación de procedimientos de autorización seguidos en el ámbito del comercio minorista y a la regulación de las zonas de gran afluencia turística, se justifica su adopción por la necesidad de contribuir a mejorar la normativa reguladora de dichas zonas, y para favorecer la inmediata reactivación de las ventas, en particular en lo que a consumo turístico se refiere, como consecuencia del incremento de visitantes registrados a lo largo del ejercicio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las vulneraciones competenciales denunciadas, señala que la regulación estatal en materia de horarios comerciales se integra en el art. 149.1.13 CE. El carácter exclusivo de la competencia autonómica en materia de comercio interior no impide la confluencia del título del Estado sobre ordenación general de la economía, el cual puede afectar a un subsector determinado y concreto como la libertad de horarios comerciales en las denominadas zonas de gran afluencia turística así declaradas. Así, resulta constitucionalmente conforme que el Estado incida, por razones de regulación general uniforme (que en última instancia deben ser valoradas por el Tribunal Constitucional) en un área más reducida o subsector específico de una competencia autonómica más amplia. Esto es, que la normativa estatal venga a incidir sobre aspectos puntuales relevantes para la ordenación económica general, como por ejemplo, la liberalización de determinados ámbitos del sector comercio interior en función de la declaración de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impugnadas contienen una regulación que amplía el alcance liberalizador de los horarios comerciales que se establecía hasta el momento en la legislación estatal vigente en la línea previamente marcada por el art. 27 del Real Decreto-ley 20/2012. Propósito liberalizador que no puede enervarse mediante el subterfugio de un supuesto desarrollo normativo autonómico de lo que la ley liberalizadora no prevé. Se trata de unas normas de naturaleza propia de ley básica que amplían el techo de libertad comercial o de autogestión comercial de manera conforme con la doctrina constitucional (con cita de las SSTC 88/2010, 140/2011 y 26/2012). La reforma ahora cuestionada únicamente amplía un tanto el ámbito de la liberalización ya efectuada conforme a la norma básica enjuiciada en los pronunciamientos anteriormente expuestos, pues, se añaden los municipios de más de 100.000 habitantes (antes lo eran a partir de 200.000) y a aquellos en los que las pernoctaciones superen el número de 600.000 anuales (cuando lo eran a más de l.000.000, antes de la reforma), manteniéndose el régimen jurídico restante ya vigente. Se trata de adaptaciones legislativas que profundizan el alcance de la liberalización de un subsector de la economía, manteniendo la decisión autonómica sobre la base de criterios generales que la norma estatal regula, a la vez que establece unos plazos de decisión y su consecuencia. Pero no suprime en modo alguno el margen de decisión de las Administraciones territoriales que intervienen en la declaración de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noviembre de 2016,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 resolverse el recurso de inconstitucionalidad interpuesto por el Consejo de Gobierno del Principado de Asturias contra los arts. 4 y 7 del Real Decreto-ley 8/2014, de 4 de julio,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dos motivos: i) falta del presupuesto habilitante exigido por el art. 86.1 CE en cuanto que, según la demanda, no existe conexión de sentido entre la situación de urgencia que detalla el Gobierno y la norma adoptada en materia de declaración de zonas de gran afluencia turística, sin que tampoco se haya justificado la razón por la que el objetivo perseguido por la medida no se puede conseguir por el procedimiento legislativo ordinario, y ii) extralimitación de las competencias estatales, incurriendo en una correlativa invasión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tal como consta en los antecedentes, ha negado las infracciones constitucionales denunciadas interesando la desestimación integra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antes de comenzar a resolverlo se debe examinar la incidencia que modificaciones normativas posteriores a la interposición del recurso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8/2014, de conformidad con lo dispuesto en el art. 86.2 CE, fue sometido a debate y votación de totalidad por el Congreso de los Diputados en su sesión del día 10 de julio de 2014, en la que se acordó su convalidación, tramitándose posteriormente para su aprobación como proyecto de ley. El proyecto sería finalmente aprobado, sin modificaciones, como Ley 18/2014, de 15 de octubre, de aprobación de medidas urgentes para el crecimiento, la competitividad y la eficiencia. En lo que ahora interesa el texto de la Ley coincide sustancialmente con el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señaló la STC 199/2015, de 24 de septiembre, FJ 2 b), con cita de doctrina anterior, “una vez se sigue para el decreto-ley la vía prevista en el art. 86.3 CE, de tramitación como proyecto de ley, en el momento en que este sea aprobado quedará ‘extinguido el Decreto-ley mediante la promulgación de una ley destinada a reemplazarle’ (STC 178/2004,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esta novación que, en el caso que nos ocupa, supone la sustitución absoluta del Decreto-ley 8/2014, por la Ley 18/2014, no implica, atendiendo a nuestra doctrina al respecto (por todas, STC 96/2014, de 2 de junio, FJ 2), la desaparición del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a la infracción del art. 86.1 CE, esa derogación tácita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(STC 137/2011,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tacha competencial denunciada en el proceso, la doctrina de este Tribunal acerca de la pérdida de objeto de los recursos de inconstitucionalidad con contenido competencial es que esta pérdida no se produce cuando la norma impugnada es derogada y sustituida por otra que plantea esencialmente los mismos problemas competenciales. Por ello, en la medida en que el recurso discute la competencia estatal para dictar los preceptos impugnados, la controversia trabada no se ve alterada por su sustitución por otros del mismo tenor literal, por lo que subsiste el interés de un pronunciamiento de este Tribunal Constitucional sobre la titularidad de la competencia discutida (SSTC 40/1998, de 19 de febrero, y 233/1999,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debe examinar en primer lugar la vulneración del art. 86.1 CE, pues la misma, de ser estimada, haría innecesario el análisis de las restantes infracciones constitucionales denunciadas (STC 125/2016,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primer motivo de recurso ha de ser desestimado en atención a la doctrina fijada para un asunto similar en la STC 199/2015,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citada considera que “la individualización de la situación de urgencia se produce y se identifica con la necesidad de maximizar los efectos de una situación económica a la que el Gobierno valora como positiva, tras la crisis precedente. La conexión de sentido, por tanto, se cumple también, al vincularse las medidas al aprovechamiento de los efectos de lo que el Gobierno considera una incipiente recuperación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sobre los arts. 4, 5 y 7 se apreció que existía “una justificación del Gobierno, en relación con la concurrencia de una situación de extraordinaria y urgente necesidad, que exige la inmediata entrada en vigor de la medida de liberalización de horarios, ámbito al que ya nos referimos, respecto de su regulación por decreto-ley en la STC 31/2011, de 17 de marzo. El cambio del régimen de horarios comerciales exige, tal y como está planteado, que las Comunidades Autónomas y los municipios competentes procedan a las modificaciones que exige el real decreto-ley en el plazo de entre dos y seis meses, asociando la norma impugnada un automatismo que supone la modificación de la declaración de zonas de gran afluencia turística, de las que dependen los horarios, en caso de inactividad de las Administraciones autonómica y local. Por tanto, y frente a lo expresado por los recurrentes, el Decreto-ley no difiere su entrada en vigor en este punto, sino que exige la inmediata entrada en vigor, que depende de otras Administraciones, apuntando un mecanismo subsidiario de actuación del nuevo modelo, lo que denota la verdadera necesidad de implantarlo y la premura de dicha implantación, en aras, como indican los documentos transcritos, a lograr la reactivación del comercio minorista aprovechando el incremento registrado de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anterior llevó a concluir que “Concurren, por tanto, respecto de esta medida, la justificación del presupuesto habilitante y la conexión de sentido” (STC 199/2015, FJ 6). Conclusión a la que debe llegarse también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Cumple responder ahora al segundo motivo de inconstitucionalidad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considera que el Estado se ha extralimitado en el ejercicio de sus competencias, por cuanto el art. 149.1.13 CE no permite vaciar de contenido una materia más específica, como son los horarios comerciales, pues la normativa básica ha de dejar un espacio normativo suficiente para que las Comunidades Autónomas puedan desarrollar sus competencias normativas y de ejecución, estableciendo una política comercial adaptada a sus peculiaridades. Las normas impugnadas habrían agotado el régimen de horarios comerciales para determinadas partes del territorio al dejar sin margen de modulación al legislador autonómico, en los casos previstos en el Real Decreto-ley, según se ha dicho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comparte dicha opinión según se expone en el antecedente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es una controversia competencial que, ha de encuadrarse en la materia comercio interior en la que, conforme a nuestra doctrina, se integran los horarios comerciales (por todas, STC 88/2010, de 15 de noviembre, FJ 2). No se trata de una cuestión discutida por las partes comparecidas que han centrado el debate en el alcance que ha de atribuirse a las competencias estatales derivadas del art. 149.1.13 CE en relación con las competencias autonómicas exclusivas en materia de comercio interior atribuidas por el art. 10.1.14 del Estatuto de Autonomía del Principado de Asturias, “sin perjuicio de la política general de precios, de la libre circulación de bienes en el territorio del Estado y de la legislación sobre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esto último, debe tenerse en cuenta que este Tribunal ha precisado que “aun existiendo una competencia sobre un subsector económico que una Comunidad Autónoma ha asumido como ‘exclusiva’ en su Estatuto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(STC 77/2004, de 29 de abril, FJ 3, y las en ella citadas). En el presente caso, la intervención estatal en la regulación de los horarios comerciales ya ha sido reconocida por nuestra doctrina por su carácter “particularmente relevante en la ordenación de la actividad comercial minorista, rama o sector de la economía nacional respecto a la cual el Estado puede, conforme a nuestra doctrina, establecer medidas básicas en cuanto lo requiera la adecuada ordenación de la actividad económica” (STC 88/2010, de 15 de noviembre, FJ 5, reiterado en la STC 26/2012, de 1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estatales son básicas desde la perspectiva formal, por cuanto la disposición final primera.3 del Real Decreto-ley 8/2014 afirma que “Los artículos 4, 5 y 7 de este real decreto-ley se dictan al amparo del artículo 149.1.13 de la Constitución que atribuye al Estado la competencia sobre las bases y coordinación de la planificación general de la actividad económica”. En cuanto a su carácter materialmente básico, la Comunidad Autónoma no discute que el art. 149.1.13 CE ampare la regulación estatal en este ámbito, pero cuestiona que, en este caso, el Estado se habría excedido en la definición de las bases al no permitir ulteriores desarrollos autonómicos. Para resolver esta cuestión debe aplicarse la doctrina según la cual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14/2004, de 13 de febrero, FJ 11,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planteada la controversia competencial, debe resolverse en primer lugar la relativa al art. 7 del Real Decreto-ley 8/2014, que modifica el régimen sustantivo aplicable a las denominadas zonas de gran afluencia turística, régimen al que se remite el también impugnado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7 contiene dos apartados. El primero de ellos añade dos nuevos párrafos finales al art. 5.4 de la Ley 1/2004, de 21 de diciembre, de horarios comerciales, según los cuales: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en los que concurran las circunstancias enumeradas y la propuesta de declaración de zona de gran afluencia turística formulada por el Ayuntamiento interesado contenga una limitación de carácter temporal o territorial, deberán justificarse en la propuesta las razones en las que se funda tal limitación temporal o territorial, de acuerdo con los intereses comerciales, turísticos y en beneficio del consumidor. En el caso de que la comunidad autónoma considerase que no está suficientemente justificada esta restricción, se declarará zona de gran afluencia turística la totalidad del municipio todo 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plazo que determine su legislación o, en su defecto, en el plazo de seis meses, la Comunidad Autónoma competente no resolviera la solicitud del Ayuntamiento interesado, se entenderá declarada como zona de gran afluencia turística la propuesta por dicho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5.4 de la Ley de horarios comerciales enumera, “a los efectos de lo establecido en el apartado 1”, las circunstancias que han de concurrir para que las Comunidades Autónomas, a propuesta de los Ayuntamientos correspondientes, determinen las zonas de gran afluencia turística para su respectivo ámbito territorial. Conforme al art. 5.1 de la Ley de horarios comerciales los establecimientos comerciales situados en tales zonas “tendrán plena libertad para determinar los días y horas en que permanecerán abiertos al público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dicho art. 5.4 de la Ley de horarios comerciales, en la redacción dada al mismo por el art. 27 del Real Decreto-ley 20/2012, ya se han pronunciado las SSTC 156/2015, FJ 10 y 18/2016, FJ 9 c). En ambas, “hemos considerado que se trata de reglas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sin que las normas sean tan exhaustivas o minuciosas que agoten la regulación de la materia, sino que establecen un minimum sobre el que la Comunidad Autónoma puede establecer una normativa adicional en el ejercicio de sus competencias” [STC 37/2016, de 3 de marzo, FJ 3 c)]. En efecto, como señaló la citada STC 156/2015, FJ 10, la ley estatal establece un régimen mínimo de regulación en materia de determinación de zonas de gran afluencia turística, pues, con sujeción al mismo, las Comunidades Autónomas pueden, también, añadir otras zonas con dicha calificación, haciendo uso de la circunstancia contenida en la letra g) del apartado 4 que les permite, no sólo determinar las que deban considerarse como tales, teniendo en cuenta las circunstancias enumeradas en las letras a) a f) del apartado 4, sino añadir, también, otras zonas de gran afluencia turística cuando aprecie que concurren circunstancias especiales que así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ahora introducida responde a los mismos criterios. La norma impugnada se dirige a delimitar el contenido de la propuesta que ha de formular el Ayuntamiento, estableciendo que la misma ha de expresar las razones en las que se funda tal limitación temporal o territorial de lo que, en caso contrario, supondría la aplicación de un completo régimen de libertad horaria en aplicación del art. 5.1 de la Ley de horarios comerciales. Tales posibles razones guardan relación con el concepto y fines de la zona de gran afluencia turística y se formulan con un elevado grado de generalidad, lo que permite la correspondiente valoración autonómica a la hora de tomar la decisión que le corresponde respecto a la declaración de una zona de gran afluencia turística y, a su vez, determina que puedan ser consideradas básicas, en tanto que también se relacionan con la medida liberalizadora de los horarios comerciales en que consiste la citada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norma básica determina que la valoración de la concurrencia de las circunstancias alegadas por el Ayuntamiento proponente corresponde a la Comunidad Autónoma. Eso es lo que recuerda el inciso del precepto que señala que si se considera que no está suficientemente justificada esta restricción, se declarará zona de gran afluencia turística la totalidad del municipio todo el año. Decisión que ha de ser interpretada en coherencia con la concurrencia de las circunstancias determinantes de la declaración de una zona de gran afluencia turística, de las que se sigue que, en principio y salvo circunstancia que justifique la limitación, tal declaración abarcaría la totalidad del municipio. No obstante, este recordatorio expreso del régimen aplicable a la declaración de zona de gran afluencia turística no puede ser entendido en un sentido limitativo de las opciones de la Comunidad Autónoma a la hora de adoptar la decisión que le corresponde. Tal interpretación no se ajustaría al esquema diseñado por el propio legislador básico, que parte de la fijación de una serie de criterios, a partir de los cuales y previa la propuesta del Ayuntamiento como regla general, se desarrolla el margen de decisión autonómico. Margen reconocido por el propio art. 5.4 de la Ley de horarios comerciales que afirma que pueden ser consideradas zonas de gran afluencia turística “la totalidad del municipio o parte del mismo” y que, por lo demás, ya había sido destacado por este Tribunal cuando ha tenido ocasión de examinar esta cuestión (así, STC 88/2010, FJ 5; y STC 156/2015, FJ 10). La norma no impide a la Comunidad Autónoma realizar un examen pleno de la propuesta que ha sido sometida a su consideración, de manera que, igual que puede aprobarla en sus propios términos o rechazarla, nada le impide modularla realizando su propia valoración acerca de la posible limitación temporal o territorial a la que alude el penúltimo párrafo del art. 5.4 de la Ley de horarios comerciales. Ello no es sino consecuencia de que, en los términos de la norma básica y como confirma la doctrina de este Tribunal, es a la Comunidad Autónoma a quien corresponde la decisión última en el marco diseñado al efecto por el legislador estatal. No es, por ello, posible un entendimiento en negativo de la norma impugnada que implique perjudicar las competencias de la Comunidad Autónoma al respecto ya que sería contrario a la doctrina según la cual en este ámbito son posibles “desarrollos normativos que, sin detrimento de la eficacia de la norma estatal básica, permitan que cada Comunidad Autónoma pueda establecer sistemas singularizados en materia de apertura de comercios en domingos y festivos y en materia de determinación de las zonas de gran afluencia turística” (STC 156/2015,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vulnera las competencias autonómicas el último inciso del precepto. Aquí la norma establece simplemente una consecuencia para el caso de falta de ejercicio de las competencias autonómicas en materia de declaración de zonas de gran afluencia turística [en un sentido similar STC 18/2016, FFJJ 9 a) y b), reiterado en STC 119/2016, de 23 de junio, FJ 5 d)], a la par que sirve para regular las relaciones interadministrativas en un campo en el que se entrecruzan los intereses locales y autonómicos, tal como ya hemos apreciado.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7.1 del Real Decreto-ley 8/2014 no es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7.2 modifica el apartado 5 del art. 5 de la Ley de horarios comerciales, el cual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en los municipios con más de 100.000 habitantes que hayan registrado más de 600.000 pernoctaciones en el año inmediatamente anterior o que cuenten con puertos en los que operen cruceros turísticos que hayan recibido en el año inmediato anterior más de 400.000 pasajeros, se declarará, al menos, una zona de gran afluencia turística aplicando los criterios previstos en el apartado anterior. Para la obtención de estos datos estadísticos se considerarán fuentes las publicaciones del Instituto Nacional de Estadística y de Puertos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plazo de seis meses a partir de la publicación de estos datos, las Comunidades Autónomas competentes no hubieran declarado alguna zona de gran afluencia turística en el municipio en el que concurran las circunstancias señaladas en el párrafo anterior, se entenderá declarada como tal la totalidad del municipio y los comerciantes dispondrán de plena libertad para la apertura de sus establecimientos durante todo 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5.5 de la Ley de horarios comerciales en la redacción anterior, la del art. 27 del Real Decreto-ley 20/2012, fue examinado en la STC 156/2015, FJ 10, en el que consideramos que “en el caso del apartado 5 del art. 5, se establece que, cuando concurran las circunstancias que el propio apartado prevé (tratarse de municipios con más de 200.000 habitantes que hayan registrado más de 1.000.000 de pernoctaciones en el año inmediatamente anterior o que cuenten con puertos en los que operen cruceros turísticos que hayan recibido en el año inmediato anterior más de 400.000 pasajeros), se declarará al menos una zona de gran afluencia turística, permitiendo, así que las Comunidades Autónomas puedan establecer zonas adicionales aplicando los criterios previstos en el apartado 4 del propio precepto”. Apreciación que nos llevó a concluir que se trataba de criterios para la determinación de las zonas de gran afluencia turística, lo que “no supone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Dicha decisión fue posteriormente confirmada por las SSTC 18/2016 y 37/2016.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conduce a la desestimación de la impugnación, pues las razones que allí llevaron a esa decisión son aplicables al precepto impugnado que se ha limitado a modificar, reduciéndolas cuantitativamente, las circunstancias, en forma de umbral de pernoctaciones y de población, que deben tenerse en cuenta para la determinación de las zonas de gran afluencia turística, reducción que en nada obsta a que la decisión final sobre las mismas corresponda a la Comunidad Autónoma, ni le priva de margen de actuación, según hemos apreciado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al segundo inciso del precepto le es predicable la ya mencionada doctrina de la STC 18/2016, FJ 9 a) y b), reiterada en STC 119/2016, de 23 de junio, FJ 5 d). Allí se examinaron las medidas previstas en la norma estatal para el caso de que las Comunidades Autónomas no hicieran uso de las posibilidades de regulación en materia de fijación del horario global semanal y determinación de los domingos y festivos de apertura autorizados. Y se concluyó que se trataba de opciones a disposición de la Comunidad Autónoma para el caso de que decidiera no ejercer las posibilidades de regulación que derivaban de la norma estatal. Eso mismo es lo que sucede en el presente caso en el que la declaración de zona de gran afluencia turística de la totalidad del municipio durante todo el año, con la consecuencia de que los comerciantes dispondrán de plena libertad para la apertura de sus establecimientos, solamente se producirá si la Comunidad Autónoma no decide ejercer sus potestades para determinar temporal y territorialmente cuáles son las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 7.2 del Real Decreto-ley 8/2014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el art. 4 del Real Decreto-ley 8/2014, titulado “Declaración de zonas de gran afluencia turística en los municipios que reuniesen en 2013 los requisitos del artículo 5.5 de la Ley 1/2004, de 21 de diciembre, de Horarios Comerciales, en la redacción dada por este real decreto-ley”. Dicho precepto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establecido en el artículo 5.5 de la Ley 1/2004, de 21 de diciembre, de horarios comerciales, en la redacción dada por este real decreto-ley, son municipios que a la entrada en vigor de este real decreto-ley cumplen con los criterios establecidos para la declaración de zona de gran afluencia turística, los descritos en 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plazo de seis meses a partir de la entrada en vigor de este real decreto-ley, las comunidades autónomas competentes no hubiesen declarado ninguna zona de gran afluencia turística en los municipios recogidos en el anexo I, se entenderá declarada como tal la totalidad del municipio y los comerciantes dispondrán de plena libertad para la apertura de sus establecimientos durante todo 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que el art. 5.5 de la Ley de horarios comerciales regula la declaración de, al menos, una zona de gran afluencia turística en los municipios que cumplan los requisitos de población y pernoctaciones que allí se fijan. Importa advertir que la remisión al art. 5.5 de la Ley de horarios comerciales determina que, conforme a su tenor, en este caso no resulta necesaria la previa propuesta del Ayuntamiento. En esa línea, el art. 4 remite al anexo I, que cual relaciona una serie de municipios respecto a los que se considera que “cumplen con los criterios establecidos para la declaración de zona de gran afluencia turística”, con la consecuencia de que, de no declararse en tales municipios ninguna zona de gran afluencia turística la libertad horaria que lleva implícita tal calificación se aplica a la totalidad del municipio y durante todo 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zonas de gran afluencia turística fue examinada por este Tribunal en la ya citada STC 156/2015, FJ 10, a la que se remite la STC 18/2016, FJ 9 c). En lo que ahora importa, en la primera de ellas se señaló que la norma estatal establecía “un régimen mínimo de regulación en materia de determinación de zonas de gran afluencia turística, pues, con sujeción al mismo las Comunidades Autónomas pueden, también, añadir otras zonas con dicha calificación, haciendo uso de la circunstancia contenida en la letra g) del apartado 4”. Igualmente hemos recogido ya el criterio del Tribunal sobre el art. 5.5 de la Ley de horarios comerciales, en su redacción anterior en cuanto que la exigencia allí establecida permitía “que las Comunidades Autónomas puedan establecer zonas adicionales aplicando los criterios previstos en el apartado 4 del propio precepto”. Eso llevó a concluir que la regulación de las zonas de gran afluencia turística era materialmente básica, por cuanto no suponía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la STC 18/2016, FJ 9 c) desestimó la impugnación de la disposición adicional undécima y anexo del Real Decreto-ley 20/2012, normas que tenían un contenido materialmente similar al primer párrafo de la disposición que ahora se examina, lo que determina que se deba ahora adoptar la misma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párrafo segundo, procede igualmente su desestimación. Como ya señaló la STC 18/2016, FJ 9.a) y b), y ha reiterado esta sentencia en supuestos similares, regular la plena libertad horaria es una opción a disposición de la Comunidad Autónoma para el caso de que decida no ejercer las posibilidades de regulación que le ofrece la norma estatal, modulando el alcance de la declaración en el sentido de limitar territorial o temporalmente la libertad de apertura que lleva implícita la declaración de la zona de gran afluencia turística.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5951-2014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su fundamentación jurídica y fallo. Consideramos que hubiera debido ser estimatoria al haberse producido una extralimitación de los presupuestos habilitantes de la extraordinaria y urgente necesidad que para este tipo de normas exige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por las que consideramos que, en su conjunto, el Real Decreto-ley 8/2014, de 4 de julio, de aprobación de medidas urgentes para el crecimiento, la competitividad y la eficiencia, excedió con creces de la posición conferida por nuestro sistema constitucional a la legislación de urgencia quedaron puestas de manifiesto en el Voto particular que en su momento formulamos a la STC 199/2015, de 24 de septiembre, al que nos remitimos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momento renunciamos a entrar en la crítica de detalle a la falta de presupuesto habilitante para las numerosas y heterogéneas medidas contenidas en dicha norma de urgencia, por considerar de mayor relevancia poner el foco en el problema general que planteaba una norma de sus desmedidas características. En esta ocasión, a lo allí dicho hemos de añadir que tampoco estamos de acuerdo con la posición mayoritaria en cuanto a la concurrencia del presupuesto habilitante para dictar las específicas medidas ahora impugnadas, concretamente los arts. 4 y 7, recogidos en el capítulo II del título I del Real Decreto-ley 8/2014, rubricado “Comercio minorista y unidad de mercado”, del que se ocupa la STC 199/2015, FJ 6, y del que la resolución de la que ahora discrepamos es tributaria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modificaciones que los citados arts. 4 y 7 introducen en el régimen de las zonas de gran afluencia turística a efectos de la liberalización de horarios comerciales consisten esencialmente en ampliar los umbrales de población y pernoctaciones determinantes de su declaración como tales zonas de gran afluencia turística y en fijar un plazo de seis meses para que las Comunidades Autónomas apliquen la normativa así modificada, transcurrido el cual se entenderán declaradas como tales zonas de gran afluencia turística el íntegro territorio de los municipios afectados. En nuestra opinión, la mera alteración de los antedichos criterios cuantitativos, unida al muy dilatado plazo previsto para su puesta en práctica, no justifica en modo alguno la concurrencia de las circunstancias de extraordinaria y urgente necesidad que impone el art. 86.1 CE. Las explicaciones que proporcionan la exposición de motivos, el debate de convalidación o el expediente de elaboración de la norma, ampliamente transcritas en el fundamento jurídico 6 de la STC 195/2015 en apoyo de la desestimación de aquella impugnación, pueden dar cuenta de su oportunidad en la coyuntura económica en la que se adoptan, pero no tienen la entidad suficiente para conformar el presupuesto habilitante que dota de sentido constitucional a la legislación de urgencia. Ya la STC 31/2011, de 17 de marzo, se ocupó de una medida de liberalización de horarios comerciales adoptada por decreto-ley, advirtiendo que “aun cuando apreciar si una determinada situación reviste las notas de extraordinaria y urgente necesidad que justifica el establecimiento de una norma por Decreto-ley es una tarea que corresponde, en principio, al Gobierno y para la cual ha de gozar de un razonable margen de discrecionalidad en la apreciación de dicha urgencia, lo que pudiera conducir a considerar que la flexibilización y liberalización de los horarios comerciales, en tanto que medida de impulso de la economía, pudiera justificar el uso del Decreto-ley, lo cierto es que dicho margen no le autoriza, sin embargo, para incluir en el Decreto-Ley cualquier género de disposiciones” (FJ 6). Y, sin perder de vista que la regulación allí enjuiciada difería de la que ahora nos ocupa, a nuestro juicio lo que entonces se argumentó hubiera debido resultar aplicable, mutatis mutandis, a la resolución de este recurso de inconstitucionalidad: “la medida fue tomada seis meses antes de que acabara el plazo, teniendo el legislador en su mano el procedimiento legislativo ordinario, ya que, como antes se señaló, dicho plazo no era una fecha ineluctable de finalización de vigencia, lo que hacía que tuviese en sus manos tiempo suficiente para realizar el cambio normativo sobre horarios comerciales que estimase oportuno a través, como se ha dicho, del procedimiento legislativo ordinario sin necesidad de acudir a la vía del Decreto-ley. Junto a ello, y como este Tribunal ya tuvo ocasión de señalar (STC 124/2003, de 19 de junio, FJ 9), los cambios en la regulación aplicable -el horario global semanal, el número de domingos y días festivos en que los comercios podrán abrir al público y los establecimientos comerciales a los que se reconoce un régimen especial de libertad horaria- no resultan de gran relevancia de modo que, aplazada la efectiva implantación de la libertad horaria, no existe un tratamiento novedoso de la materia respecto a la regulación sustantiva a la que las reglas del artículo 43 venían a sustituir. Tampoco, en consecuencia, desde el punto de vista de la necesidad de introducir una innovación normativa efectiva (STC 332/2005, de 15 de diciembre, FJ 7), se aprecia la nota de imprevisibilidad que define la existencia de una necesidad extraordinaria a la que ha de hacerse frente a la misma en un plazo”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entendemos que la resolución de la que ahora discrepamos es una buena ocasión para insistir en la necesidad de recuperar el rigor exigible en el control de la constitucionalidad de los decretos-leyes, a fin de que no quede difuminada su naturaleza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noviembre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respecto de la Sentencia dictada en el recurso de inconstitucionalidad núm. 5951-2014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 que considero que hubiera debido ser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coincidente con la que ya fue expuesta en el Voto particular formulado a la STC 199/2015, de 24 de septiembre, al que para evitar reiteraciones innecesarias me remito, en que se defendía que el Real Decreto-ley 8/2014, de 4 de julio, en su conjunto, vulneraba el art. 86.1 CE por haberse producido una extralimitación de los presupuestos habilitantes de la extraordinaria y urgente necesidad exigibles para este tipo de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noviembre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