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1092-2013, interpuesto por el Gobierno de la Nación contra la resolución de 20 de diciembre de 2012, de la Dirección Gerencia del Servicio Andaluz de Salud, por la que se anuncia convocatoria para la selección de medicamentos a dispensar por las oficinas de farmacia de Andalucía, cuando sean prescritos o indicados por principio activo en las recetas médicas y órdenes de dispensación oficiales del Sistema Nacional de Salud. Ha comparecido y formulado alegaciones la Letrada de la Junta de Andalucía.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25 de febrero de 2013, el Abogado del Estado, en nombre del Gobierno de la Nación, interpuso conflicto positivo de competencia contra la resolución de 20 de diciembre de 2012, de la Dirección Gerencia del Servicio Andaluz de Salud, por la que se anuncia convocatoria para la selección de medicamentos a dispensar por las oficinas de farmacia de Andalucía, cuando sean prescritos o indicados por principio activo en las recetas médicas y órdenes de dispensación oficiales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conflicto de competencia se basa en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recordando los antecedentes del conflicto y delimitando su objeto. Afirma que el Tribunal Constitucional ha reconocido la aptitud para constituir el objeto de un conflicto de competencias a las circulares o meras comunicaciones (SSTC 33/1982, 27/1983, 143/1985 y 102/1988, entre otras). Por tanto, nada impide que pueda dirigirse el conflicto positivo de competencia contra la resolución de diciembre de 2012, que infringe gravemente las competencias exclusivas estatales previstas en el art. 149.1.1,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analiza los títulos competenciales que considera vulnerados y la normativa en materia de prestación farmacéutica. Señala que, en desarrollo de los arts. 149.1.1, 149.1.16 y 149.1.17 CE, el Estado ha dictado la Ley 14/1986, de 25 de abril, general de sanidad; la Ley 16/2003, de 28 de mayo, de cohesión y calidad del Sistema nacional de salud; la Ley 29/2006, de 26 de julio, sobre garantías y uso racional de los medicamentos y productos sanitarios; el Real Decreto 1030/2006, de 15 de septiembre, por el que se establece la cartera de servicios comunes del Sistema Nacional de Salud y el procedimiento para su actualización; la Orden SPI/3052/2010, de 26 de noviembre, por la que se determinan los conjuntos de medicamentos y sus precios de referencia, y por la que se regulan determinados aspectos del sistema de precios de referencia; y la resolución de 28 de diciembre de 2011, que determina los nuevos conjuntos de medicamentos que se dispensan en oficinas de farmacia a través de receta médica oficial u orden de dispensación, sus precios de referencia, y se revisan los precios de referencia fijados por Orden SPI/3052/2010,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debe además tenerse en cuenta que el consejo interterritorial del Sistema Nacional de Salud aprobó por unanimidad, en su sesión extraordinaria de 18 de marzo de 2010, un acuerdo en el que se establecían medidas orientadas a promover una mayor eficiencia en el gasto sanitario. Como consecuencia de dicho acuerdo se dictó el Real Decreto-ley 4/2010, de 26 de marzo, de racionalización del gasto farmacéutico con cargo al Sistema Nacional de Salud y el Real Decreto-ley 8/2010, de 20 de mayo, por el que se adoptan medidas extraordinarias para la reducción del déficit público. Ha de estarse asimismo para la resolución de este conflicto al Real Decreto-ley 9/2011, de 19 de agosto, de medidas para la mejora de la calidad y cohesión del Sistema Nacional de Salud, de contribución a la consolidación fiscal y de elevación del importe máximo de los avales del Estado para 2011. Por último, el Real Decreto-ley 16/2012, de 20 de abril, de medidas urgentes para garantizar la sostenibilidad del Sistema Nacional de Salud y mejorar la calidad y seguridad de sus prestaciones, se dicta con la finalidad de racionalizar el gasto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recordatorio de la normativa en materia de prestaciones farmacéuticas, analiza la competencia estatal en relación con el art. 1491.1.1 CE y señala que, a la vista de la doctrina constitucional sobre este precepto, no hay dudas respecto al alcance que hay que dar a los criterios de igualdad y equidad manejados por la Ley 14/1986 y por la Ley 16/2003, como principios que, en el ámbito de las prestaciones sanitarias, obligan al Estado a garantizar un mínimo común denominador, un nivel mínimo de prestaciones suficiente para hacer efectivo el derecho a la salud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competencia estatal en materia de “sanidad exterior. Bases y coordinación general de la sanidad. Legislación sobre productos farmacéuticos” (art. 149.1.16 CE), tras analizar la doctrina constitucional, señala que la normativa estatal, al fijar el catálogo de prestaciones sanitarias, define el contenido primario y común del derecho a la protección de la salud de todas las personas. Mediante este catálogo de prestaciones se establecen las condiciones básicas y comunes para una atención integral, por lo que su contenido es indispensable para las Comunidades Autónomas. Estas podrán añadir nuevas prestaciones con cargo a sus presupuestos en los términos del art. 8 quinquies de la Ley 16/2003 mediante la aprobación de carteras complementarias, pero en ningún caso podrán excluir ninguna de las previstas en la cartera común. Las Comunidades Autónomas no pueden regular a la baja el nivel de prestaciones garantizado para todo el Sistema Nacional de Salud y tampoco pueden rebajarlo de facto. En definitiva, constituyendo una de las prestaciones sanitarias incluidas en el catálogo, la prestación farmacéutica no es sólo el mínimo común normativo exigible en todo el territorio español para garantizar la igualdad de todos los españoles en el acceso a las prestaciones del Sistema Nacional de Salud (art. 149.1.16 CE), sino una condición básica para todos los ciudadanos en el ejercicio de un derecho constitucional (art. 149.1.1 CE), como es el derecho a la protección de la salud reconocido en el art.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alude el Abogado del Estado a la competencia estatal en materia de “legislación básica y régimen económico de la Seguridad Social” (art. 149.1.17 CE). Señala que pese a que la asistencia sanitaria ha abandonado la partida presupuestaria especial de la Seguridad Social —caracterizada por el principio de caja única— y ha pasado al sistema general de financiación autonómica con el resto de partidas presupuestarias, esta nueva forma de financiación no puede significar la absoluta supresión de la conexión que existe entre la prestación farmacéutica y la Seguridad Social. Si atendemos a la propia Ley 21/2001, de 27 de diciembre, por la que se regulan las medidas fiscales y administrativas del nuevo sistema de financiación de las Comunidades Autónomas en régimen común y ciudades con Estatuto de Autonomía, se observa que dicho sistema de financiación adopta como pilares básicos los principios de generalidad, estabilidad, suficiencia, autonomía y solidaridad; concretamente, este último principio “garantiza que las Comunidades Autónomas puedan prestar sus servicios en condiciones equivalentes” (exposición de motivos de la Ley 21/2001), que no idénticas; salvo en materia de prestación farmacéutica en atención a sus propias características que, por incluirse dentro de la asistencia sanitaria, constituye una prestación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añade, sea la financiación de la asistencia sanitaria por medio de la Seguridad Social, o se constituya en un sistema propio (Sistema Nacional de Salud) de carácter universal y con cargo a presupuestos públicos soportada de forma principal a través de impuestos, ha de entenderse inadmisible que por un cambio de los sistemas de organización financiera de las prestaciones, los ciudadanos resulten perjudicados al recibir la asistencia sanitaria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en definitiva, la financiación selectiva de medicamentos constituye un principio normativo estatal que inspira la incorporación de todo medicamento al Sistema Nacional de Salud. De este modo, parece quedar fuera de duda que el criterio de racionalización del gasto público destinado a prestación farmacéutica ha sido cuidadosamente observado en la conformación del actual nomenclátor oficial de productos farmacéuticos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alude el Abogado del Estado al carácter básico de la normativa reguladora de las prestaciones sanitarias. A su juicio, se dan los requisitos formales y materiales para confirmar que el régimen contenido en los preceptos legales que sirven de parámetro de constitucionalidad constituyen bases de la sanidad, según lo previsto en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las Leyes 16/2003 y 29/2006 relativos a la ordenación de las prestaciones sanitarias cumplimentan la perspectiva formal que permite acreditar su carácter básico, al hallarse incluidos en norma de rango legal. Los contenidos en el Real Decreto 1030/2006 tampoco podrían tacharse de insuficiente rango, pues el Tribunal Constitucional ha admitido reiteradamente normas básicas aprobadas por reales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fijación por el Estado de una cartera común de servicios del Sistema Nacional de Salud concurre indudablemente la exigencia material de lo básico, constituyendo así un nivel mínimo homogéneo susceptible de ampliación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las competencias de la Junta de Andalucía, recuerda que el art. 55 del Estatuto de Autonomía de Andalucía delimita las competencias de la Junta en materia de salud, sanidad y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atendiendo a las competencias estatutariamente asumidas, la Ley 16/2003 permite a las Comunidades Autónomas la fijación de carteras de servicios complementarias. La cartera de servicios estatal sólo resulta susceptible de ampliación o mejora por parte de las Comunidades Autónomas, nunca de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analizados los títulos competenciales, el Abogado del Estado se centra en analizar la inconstitucionalidad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Decreto-ley 3/2011 prevé la celebración de convocatorias públicas para la selección de los medicamentos y productos sanitarios a dispensar por las oficinas de farmacia cuando, en el marco del sistema sanitario público de Andalucía, se les presente una receta médica u orden de dispensación en las que el medicamento se identifique por principio activo o el producto sanitario se prescriba por denominación genérica. La resolución de 20 de diciembre de 2012, dando cumplimiento a las previsiones del Decreto-ley 3/2011, anuncia la convocatoria para la selección de medicamentos a dispensar por las oficinas de farmacia de Andalucía, cuando las recetas médicas y órdenes de dispensación oficiales del Sistema Nacional de Salud sean prescritas o indicadas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Servicio Andaluz de Salud sólo financiará en Andalucía la presentación que aparezca en el primer lugar del listado que se elabore, de menor a mayor, en función del coste final de los medicamentos. En Andalucía quedan, por tanto, fuera de la cartera de servicios comunes de la prestación farmacéutica aprobada para todo el Sistema Nacional de Salud, las restantes presentaciones que figuran en el nomenclátor estatal y que, sin embargo, no resulten seleccionadas a través del concurso aquí impugnado. Por medio del sistema de selección previsto en la norma objeto de conflicto se viene a establecer una cartera de prestaciones farmacéuticas del Servicio Andaluz de Salud diferente al del resto del Estado pues, en cuanto al principio activo objeto de la resolución impugnada, sólo cabrá la prescripción y la dispensación de la presentación que resulte adjudicataria, desapareciendo de la cartera del Servicio Andaluz de Salud el resto de medicamentos que figuran en el nomenclátor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Además, a su juicio, la resolución de 20 de diciembre de 2012 colisiona con la competencia exclusiva del Estado en materia de legislación sobre productos farmacéuticos, en relación con la dispensación de productos farmacéuticos y su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previsiones de la normativa autonómica inciden sobre el régimen de dispensación de productos farmacéuticos, en tanto que sólo se dispensarán en Andalucía los medicamentos y productos sanitarios seleccionados, restringiéndose el ámbito objetivo de la dispensación de los medicamentos en una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régimen andaluz habrá de producir fuertes distorsiones en el funcionamiento de la sanidad pública en esa Comunidad Autónoma, en cuanto es la Dirección Gerencia del Servicio Andaluz de Salud quien decide, dentro de cada agrupación homogénea, qué concreto medicamento o producto sanitario se va a financiar en los próximos dos años, sustituyendo en esta función a las oficinas de farmacia. Las previsiones andaluzas eliminan la flexibilidad que, en beneficio del usuario del Sistema Nacional de Salud, establece la normativa estatal, en cuanto en éste la oficina de farmacia, de acuerdo con el paciente, puede elegir entre varias presentaciones o productos que tengan igual precio (el menor) y formen parte de la misma agrupación, cuál conviene más a las necesidades del ciudadano, en función de qué presentación esté acostumbrado a utilizar y de la conveniente adherencia a un tratamiento concreto. Además, la normativa andaluza altera igualmente el régimen de sustitución de los medicamentos y productos sanitarios. En efecto, para el Abogado del Estado, la obligación impuesta por la Junta de Andalucía a las oficinas de farmacia de dispensar únicamente los medicamentos y productos sanitarios seleccionados por el Servicio Andaluz de Salud, restringe o directamente elimina las facultades de sustitución o intercambio en la dispensación prevista en la legislación estatal, vulnerando así las competencias estatales en materia de productos farmacéuticos y restringiendo gravemente los derechos de los usuarios de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Afirma el Abogado del Estado que del modelo andaluz se derivan importantes diferencias con el común: 1ª) los descuentos que hacen los laboratorios en Andalucía repercuten exclusivamente en el Servicio Andaluz de Salud, no afectan al precio de venta del medicamento y, por tanto, no benefician al consumidor final en el porcentaje que deba satisfacer de la prestación farmacéutica; 2ª) durante el plazo de vigencia de dos años del convenio, el suministro de un medicamento por agrupación homogénea se adjudica a un laboratorio, quedando excluidos el resto de ese mercado regional; 3ª) en Andalucía no existen adaptaciones mensuales al precio más bajo que fija la legislación estatal, sino que, existirán modificaciones trimestrales, en función de la bajada del precio menor, siempre que el laboratorio adjudicatario acepte la bajada. De no aceptarla se resolvería el convenio, debiendo el Servicio Andaluz de Salud realizar nuevas convocatorias.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debe tenerse en cuenta que en el Sistema Nacional de Salud se realizarán revisiones mensuales de los precios más bajos, mediante concurrencia entre las empresas farmacéuticas, debiendo dispensarse a esos precios por las oficinas de farmacia. En el sistema andaluz sólo se impone a las empresas farmacéuticas adjudicatarias la adaptación a las revisiones trimestrales de los precios menores. En el caso de que tales empresas no se adapten, el Servicio Andaluz de Salud debe resolver el convenio y proceder a una nueva convocatoria; con esto la acomodación del Servicio Andaluz de Salud a los precios más bajos estatales se diferiría todavía más en el tiempo, poniéndose de manifiesto las rigideces del sistema. Por otro lado, en el modelo andaluz, el descuento que hagan las empresas farmacéuticas beneficia exclusivamente al Servicio Andaluz de Salud y no se repercute en el paciente que adquiere las medicinas: el Servicio Andaluz de Salud se beneficia de descuentos, pero el ciudadano debe pagar precios más altos por los medicamentos en Andalucía que en el resto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andaluza altera igualmente el régimen de sustitución de los medicamentos y productos sanitarios (art. 85.1 y disposición adicional decimocuarta de la Ley 29/2006). La obligación impuesta por la Junta de Andalucía a las oficinas de farmacia de dispensar únicamente los medicamentos y productos sanitarios seleccionados por el Servicio Andaluz de Salud, restringe o directamente elimina las facultades de sustitución o intercambio en la dispensación prevista en la legislación estatal, vulnerando así las competencias estatales de legislación exclusiva en materia de productos farmacéuticos y restringiendo gravemente los derechos de los usuarios de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también resulta ignorada la competencia exclusiva del Estado en materia de financiación pública de las prestaciones farmacéuticas en el Sistema Nacional de Salud, pues al diseñar un mecanismo de selección de un único medicamento en los términos expuestos, para el marco de toda la prestación farmacéutica del sistema sanitario público de Andalucía, excluye de la financiación pública aquellos medicamentos que, reuniendo los requisitos establecidos para ser dispensados ante una prescripción por principio, no hayan sido seleccionados mediante el procedimiento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de la aplicación del sistema previsto por la normativa andaluza resulta que el Servicio Andaluz de Salud paga por cada medicamento un precio reducido; sin embargo, el porcentaje que debe satisfacer el beneficiario de la prestación farmacéutica se calcula sobre el precio íntegro de venta al público. El resultado es obvio: el beneficiario está soportando un porcentaje final sobre el precio reducido que paga el Servicio Andaluz de Salud, superior al fijado por el Estado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94 de la Ley 29/2006, es competencia del Gobierno de la Nación determinar, en los casos de financiación de medicamentos y productos sanitarios con cargo al Sistema Nacional de Salud, los supuestos de dispensación gratuita o la participación en el pago a satisfacer en cada caso. La regulación concreta sobre este extremo (aportación normal, reducida o exención de pago) se contiene en el Real Decreto 1030/2006. En los casos de participación del ciudadano en el pago de la prestación farmacéutica, el Estado fija para todo el Sistema Nacional de Salud un porcentaje sobre el precio de venta al público, que debe satisfacer el usuario del servicio. De la aplicación del sistema previsto por la normativa andaluza resulta que el Servicio Andaluz de Salud paga por cada medicamento un precio reducido y, sin embargo, el porcentaje que debe satisfacer el beneficiario de la prestación farmacéutica se calcula sobre el precio íntegro de venta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medicamentos y productos farmacéuticos que no resulten seleccionados para su financiación por el Servicio Andaluz de Salud, la Comunidad Autónoma de Andalucía estaría infringiendo las reglas estatales aplicables al procedimiento para la financiación pública contenidas en el art. 89 de la Ley 29/2006, dictado al amparo de la competencia estatal reconocida en el art. 149.1.17 CE, pues ello supone una afectación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afirmando que, con la normativa andaluza impugnada, las condiciones de dispensación de los productos farmacéuticos variarán en función del lugar de España en el que residan o se desplacen los usuarios del Sistema Nacional de Salud. El comprensible objetivo de reducir el gasto farmacéutico, no puede perseguirse vulnerando frontalmente la normativa estatal en la materia, que configura una mínima homogeneidad que es la que precisamente permite hablar de un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marzo de 2013, el Pleno, a propuesta de la Sección Segunda, acordó admitir a trámite el conflicto positivo de competencia y dar traslado de la demanda y documentos presentados a la Junta de Andalucía, al objeto de que, en el plazo de veinte días, aportara cuantos documentos y alegaciones considerara convenientes. Asimismo, se acordó comunicar la interposición del presente conflicto a la Sala de lo Contencioso-Administrativo del Tribunal Superior de Justicia de Andalucía, por si ante la misma estuviere impugnado o se impugnare la resolución, en cuyo caso se suspenderá el curso del proceso hasta la decisión del conflicto, según dispone el art. 61.2 de la Ley Orgánica del Tribunal Constitucional (LOTC), así como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 la Junta de Andalucía presentó su escrito de alegaciones el día 16 de abril de 2013, instando la desestimación del conflicto en atención a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de alegaciones haciendo alusión al objeto del conflicto, para pasar a analizar los distintos títulos competenciales invocados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resolución impugnada no ha afectado al art. 149.1.1 CE, que no debe ser entendido como una prohibición de divergencia autonómica (STC 239/2002, de 11 de diciembre). En todo momento se respetan las condiciones básicas que garantizan la igualdad de todos los ciudadanos, sin cambiar en modo alguno la relación entre paciente, farmacéutico y Administración, sino la relación entre farmacéutico, laboratorio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tampoco afecta al régimen económico de la Seguridad Social (art. 149.1.17 CE), en atención a la doctrina recogida en la STC 98/2004, de 25 de mayo, pues no afecta a sus recursos financieros ni a la vigencia del principio de “caja única” por el que se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de la resolución es el propio del Sistema Nacional de Salud (art. 149.1.16 CE), en cuanto forma parte del conjunto de servicios y prestaciones sanitarias a proporcionar a todos los ciudadanos. Dentro de este sistema, se enmarca en el ámbito propio de la competencia autonómica de regulación de la función de dispensación de medicamentos de las farmacias en el ejercicio ordinario de su actividad. La resolución se inserta perfectamente en el mínimo común denominador normativo establecido por el Estado en consideración a su competencia sobre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competencia estatal relativa a la legislación sobre productos farmacéuticos, recogida asimismo en el art. 149.1.16 CE, no debe confundirse con los títulos autonómicos en las materias de ordenación farmacéutica y establecimientos farmacéuticos, pues todos versan sobre la dispensación de medicamentos, si bien en distintos aspectos (STC 152/2003, de 17 de julio, FJ 7). Partiendo del contenido disciplinado (la ordenación de los servicios y establecimientos farmacéuticos), el Decreto-ley 3/2011 se ha dictado al amparo de los arts. 149.1.16 CE y 55 del Estatuto de Autonomía de Andalucía, este último como específico y prevalente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tanto que política de gasto público, pretende hacer posible el cumplimiento de lo previsto en el art. 189 del Estatuto de Autonomía de Andalucía y el mandato del art. 135.6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mínimo común igualitario del catálogo de prestaciones del Sistema Nacional de Salud (art. 7 de la Ley 16/2003), entre las que se encuentran las prestaciones farmacéuticas (art. 16 de la Ley 16/2003), que corresponde establecer al Estado ex art. 149.1.16 CE, se verifica a través de la “cartera común de servicios” (art. 8 de la Ley 16/2003 y Real Decreto 1030/2006). Este marco general se completa con la legislación que con carácter específico regula la prestación farmacéutica —la Ley 29/2006, modificada en diversas ocasiones— como regulación actual de cabecera. A partir de ahí comienza el terreno propio del desarrollo normativo y ejecución en materia de ordenación farmacéutica, en cuanto posibilidad de regular, dentro del marco estatal, la dispensación de medicamentos desde la perspectiva de la actividad ordinaria de las oficinas de farmacia, en el marco de la necesaria racionalización del gasto público, como viene sancionado en el art. 88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60 bis y 60 ter de la Ley 22/2007, de 18 de diciembre, de farmacia de Andalucía (añadidos por el Decreto-ley 3/2011), que dan cobertura a la resolución impugnada, no inciden en la legislación estatal sobre productos farmacéuticos, ya que no resulta afectado el ámbito propio de la ordenación de los medicamentos en cuanto sustancias (STC 98/2004), sino en su dimensión de prestación farmacéutica del Sistema Nacional de Salud y, más concretamente, en el aspecto relativo a la dispensación farmacéutica ordinaria, en cuanto modo de incidir por vía indirecta en la rebaja de los costes de financiación pública. No se innova ni contradice la legislación básica estatal en materia de financiación pública de medicamentos; por el contrario, se parte de dicha legislación para procurar el ahorro en el gasto sanitario. La financiación pública de los medicamentos y productos sanitarios es un aspecto esencial de la regulación básica en materia de prestaciones farmacéuticas; su piedra angular es el denominado “precio de referencia” (art. 93 de la Ley 29/2006, que ha sufrido en los últimos tiempos múltiples modificaciones, la última a través del Real Decreto-ley 16/2012, cuya entrada en vigor ha sido posterior 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art. 60 bis de la Ley 22/2007 (añadido por el Decreto-ley 3/2011) ni la resolución que se impugna interfieren en el sistema de precios de referencia, y por lo tanto tampoco en la competencia estatal, dado que se mueven en el ámbito autonómico de la ordenación farmacéutica: la dispensación de medicamentos en las oficinas de farmacia. Por consiguiente, queda extramuros de esta regulación el supuesto de prescripción y, en consecuencia, el de dispensación de medicamentos por marcas comerciales. Por ello el encuadramiento correcto de la cuestión no está en el título VII de la Ley 29/2006 (“sistema de financiación pública de medicamentos y productos sanitarios”), sino en su título VI, sobre “uso racional de los medicamentos”, y más concretamente en el capítulo IV, sobre el uso racional de los medicamentos en las oficinas de farmacia. El concepto esencial a estos efectos no es pues el “sistema de precios de referencia” (artículo 93), sino el que denomina “sistema de precio menor” (artículo 85.3), aun cuando este último presuponga 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esencial para la resolución de esta controversia es pues el art. 85 de la Ley 29/2006, que contiene dos principios fundamentales: la preferencia de la prescripción y dispensación por principio activo, y la dispensación por el farmacéutico del medicamento de “menor precio” (redacción según el Real Decreto-ley 9/2012) o “precio más bajo” (redacción según la corrección de errores del Real Decreto-ley 16/2012), de acuerdo con las agrupaciones homogéneas determinadas por el Ministerio de Sanidad. La dispensación de medicamentos por principio activo debe referirse a agrupaciones homogéneas, concepto no equivalente al conjunto de los precios de referencia. Presupone una labor farmacéutica de selección de lo prescrito por los médicos, mientras su financiación la asume el servicio sanitario público de Andalucía. El art. 60 bis de la Ley 22/2007 (añadido también por el Decreto-ley 3/2011) pretende incidir precisamente sobre dicha opción. Mediante el sistema de concurso, la elección del producto de precio menor (más bajo), que venía correspondiendo al farmacéutico de forma absolutamente libre, se ejercitaría a través de unas pautas regladas. Se pretende que el poder de decisión corresponda al comprador y no al dispensador al público; esto permite que sea la Administración pública la que se beneficie de los descuentos que por volumen de ventas o pronto pago ofrecen los distribuidores (admitidos en el art. 3.6 de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razón, absolutamente económica, lleva a la Comunidad Autónoma en tiempos de grave crisis financiera y necesidad de cumplimiento de los objetivos de déficit, a asumir dicha elección de dispensación, que por otro lado es la de mayor eficacia administrativa (art. 103 CE), sin afectación al sistema de financiación sanitario nacional ni al sistema prestacional público. La seguridad del paciente queda en todo caso salvaguardada, dado que el medicamento ha sido prescrito por el profesional médico y el producto dispensado se encuadra en los listados respectivos —precios de referencia y precios menores más bajos— elaborados por el Ministerio de Sanidad. La única afectación posible en su caso es la que atañe a la relación del farmacéutico con los distribuidores de farmacia, lo que se inserta plenamente en la competencia autonómica de ordenación farmacéutica y ahorra al erario público el margen de incentivos por volumen de compra o pronto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cláusula 4 c) del convenio tipo andaluz es garantía del cumplimiento de la normativa básica, al establecer en todo caso la necesidad de aplicación de la normativa estatal sobre precio menor autorizado. El laboratorio queda sujeto a la normativa estatal de forma que, si no mantiene el precio igual o por debajo del precio menor correspondiente, se resolverá el convenio. Por tanto, ni se vulnera el procedimiento de fijación de precios del Estado, ni se establece un mecanismo de precios distinto, previéndose la aplicación de las normas estatales en la ejecución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regulación andaluza no quedan fuera de la cartera de servicios del Sistema Nacional de Salud las presentaciones que, figurando en el nomenclátor oficial, no resulten seleccionadas en el concurso. El nomenclátor es un fichero técnico que recoge todos los medicamentos y productos sanitarios: se elabora a efectos de facturación y no de financiación pública. La modificación de la cartera de servicios de prestación farmacéutica solo se produciría si al médico se le limitara o impidiera la prescripción de alguna de las distintas composiciones de aquel listado, pero el marco normativo de prescripción no se altera lo más mínimo, por lo que no puede sostenerse que se modifica la cartera básica de una prestación que, por definición, es de prescripción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convocatoria impugnada solo afecta a la relación entre el farmacéutico y la distribuidora de medicamentos, pero no a la relación entre el ciudadano y el sistema público de salud, desde el momento en que, ya se aplique el descuento a la oficina de farmacia, ya se aplique al erario público, el precio final que satisface el ciudadano es siempre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enero de 2017 se señaló para deliberación y votación de la presente Sentencia el día 2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esta Sentencia es resolver el conflicto positivo de competencia promovido por el Gobierno de la Nación contra la resolución de 20 de diciembre de 2012, de la Dirección Gerencia del Servicio Andaluz de Salud, por la que se anuncia convocatoria para la selección de medicamentos a dispensar por las oficinas de farmacia de Andalucía, cuando, en las recetas médicas y órdenes de dispensación oficiales del Sistema nacional de salud, sean prescritos o indicados por principio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se ha dictado en aplicación del art. 60 bis.1 y concordantes de la Ley 22/2007, de 18 de diciembre, de farmacia de Andalucía, en la redacción dada por el Decreto-ley de la Junta de Andalucía 3/2011, de 13 de diciembre, por el que se aprueban medidas urgentes sobre prestación farmacéutica del Sistema sanitario público de Andalucía. Dicho marco normativo, impugnado en el recurso de inconstitucionalidad núm. 4539-2012, ha sido enjuiciado en la STC 210/2016, de 15 de diciembre. En esta Sentencia, el Tribunal, tras llevar a cabo el análisis propio de un juicio de constitucionalidad indirecta o mediata, concluye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un medicamento en ese nomenclátor [estatal] es condición necesaria pero insuficiente para su financiación en cada caso concreto, pues a ello ha de añadirse que para su dispensación es preciso que se trate del medicamento de menor precio dentro de los incluidos en la correspondiente agrupación homogénea, y, por otro que, en la actualidad, y como consecuencia de la aprobación del sistema de precios seleccionados por el Real Decreto-ley 16/2012, de 20 de abril, de medidas urgentes para garantizar la sostenibilidad del Sistema Nacional de Salud y mejorar la calidad y seguridad de sus prestaciones, recogido en el art. 99 del texto refundido aprobado por Real Decreto Legislativo 1/2015, la normativa estatal también excluye de la financiación por el Sistema Nacional de Salud a los medicamentos y/o productos sanitarios que superen el precio máximo financiable seleccionado a pesar de figurar en el nomenclátor. En consecuencia, debemos afirmar que la selección por el Servicio Andaluz de Salud, a través de la correspondiente convocatoria pública, de los medicamentos a dispensar por las oficinas de farmacia no establece diferencias en las condiciones de acceso a los medicamentos financiados por el Sistema Nacional de Salud, catálogo y precios.”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las alegaciones de las partes que han quedado resumidas en los antecedentes, la controversia trabada en esta ocasión versa cabalmente sobre la constitucionalidad del marco legal que da cobertura a la resolución impugnada en este proceso, por lo que, sin necesidad de consideraciones adicionales, bastará con remitirse íntegramente a la fundamentación de la STC 210/2016 para concluir con la desestimación de este conflicto positivo de competencia (en el mismo sentido, STC 7/2017, de 19 de enero).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1092-2013.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