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4952-2016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4952-2016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arts. 9, 12, así como de las disposiciones transitoria segunda y adicional cuarta, del Decreto-ley 3/2015, de 15 de diciembre, del Gobierno de Aragón, de medidas urgentes en materia de prestaciones económica de carácter social, pobreza energética y acceso a la vivienda.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art. 1 y la disposición transitoria tercera del Decreto-ley 3/2015.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septiembre de 2016, el Abogado del Estado, en nombre y representación de la Presidenta del Gobierno en funciones, interpuso recurso de inconstitucionalidad contra los artículos 1, 9, 12, disposiciones transitorias segunda y tercera, y disposición adicional cuarta del Decreto-ley del Gobierno de Aragón 3/2015, de 15 de diciembre, de medidas urgentes en materia de prestaciones económica de carácter social, pobreza energética y acceso a la vivienda. El Decreto-ley fue publicado en el “Boletín Oficial de Aragón” núm. 243, de 18 de noviembre de 2015. El Abogado del Estado invocó el art. 161.2 CE y el art. 30 de la Ley Orgánica del Tribunal Constitucional (LOTC), a fin de que se produjese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octubre de 2016, el Pleno del Tribunal acordó admitir a trámite el recurso de inconstitucionalidad, dar traslado de la demanda y documentos presentados, conforme establece el art. 34 LOTC, al Congreso de los Diputados y al Senado, así como a la Diputación General de Aragón y a las Cortes de Aragón, al objeto de que, en el plazo de quince días, pudieran personarse en el proceso y formular la alegaciones que estimaren convenientes. Asimismo, se acordó tener por invocado el art. 161.2 CE, lo que, conforme dispone el art. 30 LOTC, produce la suspensión de la vigencia y aplicación de los preceptos legales impugnados desde la fecha de interposición del recurso para las partes del proceso, y desde el día en que aparezca publicada la suspensión en el “Boletín Oficial del Estado” para los terceros, lo que se comunicará a los Presidentes de la Diputación General y de las Cortes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el 19 y 20 de octubre de 2016, respectivamente, los Presidentes del Sentado y del Congreso de los Diputados comunican el acuerdo de la Mesa de sus respectivas Cámaras, de personarse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21 de octubre de 2016 la Letrada de las Cortes de Aragón comparece en el proceso, en la representación que legalmente ostenta, y solicita se le conceda prórroga del plazo para formular alegaciones; petición a la que accedió el Pleno del Tribunal mediante providencia de 2 de noviembre de 2016, prorrogándole por ocho días más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4 de noviembre de 2016, la Letrada de la Comunidad Autónoma de Aragón en el representación que legalmente ostenta del Gobierno de Aragón, comparece en el proceso y solicita se le conceda prórroga del plazo para formular alegaciones, petición a la que accedió el Pleno del Tribunal mediante providencia de siete de noviembre, prorrogándole en ocho días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21 de noviembre de 2016, la Letrada de la Comunidad Autónoma de Aragón procedió a formular alegaciones en el presente recurso de inconstitucionalidad, interesando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 las Cortes de Aragón presentó, el 21 de noviembre de 2016, el escrito de alegaciones en el presente recurso de inconstitucionalidad, solicitando que se dicte en su día sentencia inadmitiendo dicho recurso por falta de legitimación del Presidente de un Gobierno en funciones para interponerlo, o, subsidiariamente, se desestime dicho recurso. Asimismo solicita que, sin necesidad de agotar el plazo de cinco meses a que se refiere el art. 161.2 CE, se le dé audiencia para formular alegaciones sobre la pertinencia de ratificar o levantar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del Tribunal, por providencia de 28 de noviembre, acordó oír a las partes personadas, para que en el plazo de cinco días, expusieran lo que estimaran procedente sobre el levantamiento o mantenimiento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por escrito registrado en este Tribunal el 7 de diciembre de 2016, interesó el mantenimiento de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relativa a los incidentes de suspensión de leyes autonómicas, afirma que el levantamiento de la suspensión de los preceptos impugnados del Decreto-ley de Aragón 3/2015, de 15 de diciembre, ocasionaría graves e irreparables perjuicios. A efectos de presente incidente, considera que los preceptos pueden encuadrarse en dos bloques distintos; por una parte, el art. 1 y la disposición transitoria tercera; por otra parte, los arts. 9, 12, disposición transitoria segunda y disposición adicional cuarta.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lo que respecta al artículo 1, considera el Abogado del Estado que la eficacia de este precepto no puede sino introducir una gran inseguridad jurídica en las personas beneficiarias de su mandato; tratándose además de personas con riesgo de exclusión social, la sola posibilidad de que el recurso de inconstitucionalidad fuera estimado, y como consecuencia de ello, debieran devolverse las cantidades declaradas inembargables y ya percibidas, producirá perjuicios evidentes, porque las dificultades económicas se incrementarán, al acumularse la exigibilidad de la devolución.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también que el art. 4 del Real Decreto-ley 9/2015 de 10 de julio, de medidas urgentes para reducir la carga tributaria soportada por los contribuyentes del impuesto sobre la renta de las personas físicas y otras medidas de carácter económico, contempla una medida similar a la presente, y ha atendido a esta necesidad social. La coexistencia de la eficacia vinculante de dos tipos de normas sobre la misma materia, pero cuyo contenido no es idéntico, es susceptible, de esta suerte, de causar una gran inseguridad jurídica, especialmente a los órganos jurisdiccionales y administrativos que deberán discernir cuál de las normas deben aplicar.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de la normativa autonómica supondría la exclusiva vigencia de la normativa estatal, lo que no causa perjuicio alguno a las personas beneficiarias de esta medida social, porque la norma establece con claridad el ámbito de aplicación de la inembargabilidad para los créditos de todas las Administraciones públicas, estatal, autonómica y local, y no solo de las aragonesas. Considera también que el mantenimiento de la suspensión debe proyectarse sobre la disposición transitoria tercera, al establecer el régimen de aplicación del artículo 1 con carácter retroactivo.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segundo bloque de preceptos impugnados, el Abogado del Estado fundamenta sus alegaciones en los informes que adjunta a su escrito, elaborados por el Ministerio de Economía y Competitividad, el Banco de España y por el Fondo de reestructuración ordenada bancaria, todos los cuales consideran que las medidas controvertidas tienen un considerable impacto negativo sobre la situación financiera de las entidades bancarias, el crédito hipotecario, el mercado de cédulas hipotecarias y los compromisos internacionales asumidos por España, fundamentalmente en el memorando de entendimiento firmado el 20 de julio de 2012, y su seguimiento, en el marco de la ayuda financiera otorgada a nuestro país por la Unión Europea. Especialmente, el levantamiento de la suspensión provocará consecuencias negativas en la actividad y el plan de negocio de la Sociedad de gestión de activos procedentes de la reestructuración bancaria (SAREB), cuyo éxito es garantía de que la reestructuración de las entidades de crédito que se ha realizado en los últimos meses, y se lleva a cabo mediante una adecuado reparto de costes y minimizando el riesgo para los contribuyentes.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dichos informes resulta asimismo que la eventual aplicación de los preceptos del Decreto-ley impugnado puede determinar un incremento de los costes de reestructuración asumidos por el Estado, sin añadir un mayor nivel de protección social a los deudores hipotecarios sin recursos, respecto de la protección ya garantizada por la normativa estatal en vigor. Todo ello en un contexto como el actual, en el que resulta imprescindible proseguir con los esfuerzos y extremar la vigilancia con el fin de proteger la estabilización definitiva del sector financiero español, en un entorno económico todavía adverso.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también la existencia de un gran paralelismo entre el Decreto-ley aragonés y otras normas autonómicas, entre las que cita la Ley andaluza 4/2013, de 2 de julio, la Ley Foral 24/2013, de 2 de julio, la Ley 2/2014, de 20 de junio, de Canarias, la Ley del Parlamento Vasco 3/2015, de 18 de junio, y la Ley 24/2015, de 29 de julio de Cataluña. Los AATC 69/2014, FJ 10; 115/2014, FJ 5; 144/2016, y 160/2016 han mantenido así la suspensión de preceptos similares de las citadas leyes; en concreto, la norma aragonesa comparte con la normativa autonómica previamente impugnada una medida de suspensión de desahucios en determinadas circunstancias; la cesión forzosa de viviendas; y una medida adicional cual es la interferencia en el código de buenas prácticas establecidas por el Estado. Argumenta asimismo el Abogado del Estado que la proliferación de este tipo de leyes autonómicas en materia de vivienda produce un efecto acumulativo, al comprender gran parte del territorio nacional, lo que podría agravar aún más los efectos negativos para el sector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así el Abogado del Estado en apoyo de su pretensión el ATC 69/2014, dictado en el incidente de suspensión de la Ley Foral 24/2013, de contenido similar a la impugnada en este caso. Este Tribunal se decantó entonces por el mantenimiento de la suspensión, al apreciar que la aplicación de las medidas impugnadas de la referida Ley Foral en materia de vivienda producirían perjuicios ciertos para el interés público, que supone la estabilidad del sistema financiero en su conjunto; y este criterio fue reiterado en el ATC 115/2014, en el ATC 135/2015, y en el ATC 160/2016. Apela asimismo a la doctrina del fumus boni iuris, que el Tribunal Constitucional ha utilizado en ocasiones para el mantenimiento de la suspensión de una ley, invocando al respecto tanto los precedentes Autos de suspensión como los fundamentos jurídicos 17 y 18 de la STC 93/2015,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partir de las consideraciones que anteceden, el Abogado del Estado pasa a exponer los perjuicios que, a su parecer, provocaría el levantamiento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los perjuicios para los intereses de los particulares afectados, se insiste en que el mantenimiento de la suspensión no causará perjuicio a las personas en especial situación de vulnerabilidad social, a las que se destina. El Estado ya ha reaccionado ante esta realidad, y la concurrencia de las medidas adoptadas por la Ley autonómica con la normativa estatal al respecto, lejos de coadyuvar al objetivo de mejorar la situación de las personas que no disponen de vivienda, pueden ir en su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en el ámbito de sus competencias, ha aprobado ya diferentes normas de gran relevancia, como el Real Decreto-ley 6/2012, de 9 de marzo, de medidas urgentes de protección de deudores hipotecarios sin recursos, del que ya se han beneficiado cerca de 14.000 familias, y el Real Decreto 27/2012, de 15 de noviembre, de medidas urgentes para reforzar la protección a los deudores hipotecarios. Asimismo, y sin ánimo exhaustivo, cabe destacar el plan estatal de fomento del alquiler de viviendas, la rehabilitación edificatoria, la regeneración y renovación urbanas 2013-2016, aprobado por Real Decreto 233/2013, de 5 de abril. El objetivo del legislador estatal con la aprobación de estas normas no es otro que el de proteger a los colectivos más vulnerables, a quienes padecen extraordinarias dificultades para atender el pago de sus viviendas o para acceder a las mismas, mediante medidas tales como la posibilidad de permitir la reestructuración de la deuda hipotecaria, favorecer el acceso a una vivienda en alquiler, o la posibilidad de que el deudor, con el que la entidad financiera acuerde una “dación en pago”, permanezca en su vivienda por un plazo de dos años en concepto de arrendatario.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ha aprobado también el Real Decreto-ley 1/2015, de 27 de febrero, del mecanismo de segunda oportunidad, reducción de carga financiera y otras medidas de orden social, posteriormente convertido en la Ley 25/2015, de 28 de julio. Esta contiene medidas de diferente naturaleza, encaminadas tanto a la protección de aquellos deudores de un crédito o préstamo garantizado con hipoteca sobre su vivienda habitual, como a ampliar la protección de colectivos especialmente vulnerables. Más específicamente, esta norma supone mejoras adicionales a las que ya se han adoptado antes, con el objetivo de que las personas vulnerables reduzcan su carga financiera. Para ello, establece un conjunto de medidas, entre las que cabe destacar la segunda oportunidad en el ámbito concursal para deudores de buena fe con cargas, que incluye, por primera vez, a las personas físicas; el reforzamiento y flexibilización de la figura del mediador; la simplificación de los procedimientos; la reducción significativa de los aranceles notariales y registrales; la regla de que durante el plazo de negociaciones se suspenderán las ejecuciones; la ampliación del colectivo protegido por el código de buenas prácticas para deudores hipotecarios; y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distintos marcos legales a nivel nacional y regional, y la inseguridad jurídica acerca de las reglas aplicables, pueden afectar asimismo al valor de la garantía hipotecaria y a la estabilidad de los mercados financieros. Considera el Abogado del Estado que nada se opone a que las normas autonómicas contemplen actuaciones complementarias; por ejemplo, la financiación con sus recursos económicos a las personas y familias en dificultades, pero lo que no pueden prever son mecanismos que interfieren y perjudican las medidas adoptadas por el Estado; este criterio ha sido acogido en la STC de 14 de mayo de 2015, en relación al Decreto-ley 6/2013, dictado por la Junta de Andalucía, de contenido similar a la norma ahora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norma aragonesa —al igual que las otras normas autonómicas antes referidas— se diferencia de la normativa de ámbito nacional, en que esta última contempla la suspensión temporal de los procedimientos de ejecución, complementada con un esquema de adhesión voluntaria (código de buenas prácticas); en tanto que las normas autonómicas descansan en un procedimiento coercitivo; concretamente, la previsión de un régimen sancionador sobre incumplimientos de la obligación de cesión obligatoria del derecho de uso de viviendas desocupadas, en el caso de la norma aragonesa. Además, la coexistencia de dos regímenes (estatal y autonómico) con idéntica finalidad, pero distinta articulación jurídica, hace previsible que surjan conflictos de aplicación que pongan en riesgo tanto la deseable seguridad jurídica, como la propia finalidad de protección perseguida por estas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alegan a continuación los perjuicios para el sistema financiero, referidos al riesgo de incumplimiento de compromisos de carácter internacional; en concreto del memorando de entendimiento sobre condiciones de política financiera de 20 de julio de 2012. La Comisión Europea ha destacado en su informe de evaluación del programa de asistencia al sector financiero de enero de 2016, el potencial impacto negativo de iniciativas autonómicas de protección de los deudores hipotecarios para las actividades de la SAREB, tanto de forma directa (sanciones por inmuebles deshabitados), como indirecta (por el aumento de la incertidumbre que puede desincentivar las ofertas de potenciales compradores y deteriorar el valor de la cartera de activos de la SAREB). Asimismo, la aplicación de algunas disposiciones del Decreto-ley aragonés, y en particular, la suspensión de los desahucios y la expropiación temporal del derecho de uso, podrían lastrar las iniciativas de venta de paquetes activos, en detrimento del objetivo último de la SAREB, y generar mayor incertidumbre por deterioro del valor de las carteras de activos.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impacto potencial del Decreto-ley 3/2015 en el sector bancario, se afirma que las medidas introducidas por la norma suponen un deterioro de la posición financiera de las entidades de crédito, en tanto que implican un coste directo para éstas o un deterioro del valor de determinadas partidas en sus balances. El mayor deterioro vendría motivado por la pérdida de valor de los inmuebles adjudicados; dichas viviendas deberán permanecer en el balance de las entidades y, conforme a la aplicación de la normativa contable, deberán dotarse provisiones que en tres años alcanzarán el menos el 40 por 100 del valor de dicho inmueble; esto, además de suponer una minoración significativa de su cuenta de resultados, es contradictorio con el objetivo de incentivar a las entidades a deshacerse de dichos inmuebles. En definitiva, las medidas propuestas reducen la capacidad de las entidades de crédito de generar resultados positivos suficientes, lo que constituye condición necesaria para dotar recursos propios que permitan mantener su solvencia y, con ello, la estabilidad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previsión de una cesión temporal forzosa del uso de las viviendas obtenidas en garantía de créditos hipotecarios, reduce pues la eficacia de la garantía para enjugar las pérdidas derivadas del impago del prestatario, con el efecto inmediato de la reducción del valor de la deuda que podría recuperarse. En general, tales medidas comportan un aumento del riesgo asumido por las entidades en los créditos ya concedidos, con el consiguiente efecto negativo para la estabilidad financiera. También podrían tener un impacto sobre las emisiones de cédulas hipotecarias y otros valores garantizados por préstamos hipotecarios, debido al deterioro de la calidad de la garantía subyacente, que dificultará la capacidad de financiación de las entidades de crédito. Por último, la aplicación de la norma podría generar también mayores costes para las entidades, en caso de incumplimiento o demora de la obligación de poner a disposición de la Administración las viviendas, en los supuestos previstos en la norma, como consecuencia del régimen sancionador establecido, lo que, en su caso, afectaría a la evolución de los márgenes y resultados de las entidades.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al impacto sobre el crédito hipotecario, el Abogado del Estado aduce que la aplicación de la Ley recurrida afectaría al mercado de cédulas y bonos hipotecarios, al crear inseguridad jurídica y debilitar la fuerza de la garantía hipotecaria, reduciendo la atracción de esta fuente de financiación de las entidades de crédito, remitiéndose al informe elaborado por el Banco de España en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 analiza seguidamente el contenido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9, al ordenar la suspensión de los lanzamientos en procesos judiciales o extrajudiciales de ejecución hipotecaria de personas en situación de especial vulnerabilidad, cuando su vivienda actual se adjudique el acreedor o a un tercero por él propuesto hasta que se ofrezca una alternativa habitacional por parte de la Administración, entra en conflicto con la previsiones equivalentes de la ley estatal, creando inseguridad jurídica y afectando a las entidades financieras, además de a los acreedores no institucionales. Considera el Abogado del Estado que resultan de aplicación los pronunciamientos de la STC 93/2015, en relación con las expropiaciones de uso de la vivienda desocupada previstas en dicha norma, medida que es equiparable a la prevista en este art. 9 y en la disposición transitoria tercera del Decreto-ley aragonés. Aunque la suspensión de lanzamientos se contempla en el apartado 1 del art. 9, el resto de los apartados, en la medida en que son instrumentales para la ejecución de esta medida, deben mantenerse en suspenso por conexión; y lo mismo sucede con la disposición transitoria segunda, que establece el momento de entrada en vigor de esta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12 impone a determinados propietarios, señaladamente a la SAREB, un deber jurídico concreto de cesión de viviendas, medida cuya ejecución deteriora el valor de los activos adjudicados, en tanto que los compradores, sabedores de que la entidad podrá perder las viviendas si no se ocupan, exigirán precios más competitivos; por otro lado, las entidades a las que alcanza el proceso de reestructuración inmobiliaria, no podrán llevar a cabo la venta de sus viviendas adjudicadas afectadas por esta medida, al tiempo que mantendrán la titularidad sobre las mismas, lo que implica que éstas deberán permanecer en el balance de estas entidades, como ya se ha expuesto.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adicional cuarta altera, por otra parte, el régimen jurídico establecido por el Estado para los deudores hipotecarios, al exigir que las medidas del código de buenas prácticas, previstas en el Real Decreto-ley 6/2012, de 9 de marzo, se desarrollen dentro del sistema de mediación hipotecaria implantado por la Comunidad Autónoma. El informe emitido por el Consejo de Estado ya consideró, en este punto, que el precepto impone un mecanismo de resolución extrajudicial de conflictos que afecta a las medidas articuladas por el Estado para la protección de los deudores hipotecarios en el citado Real Decreto-ley. A estos argumentos añade el Abogado del Estado que las entidades de crédito se adhieren al código de buenas prácticas voluntariamente y asumiendo un régimen jurídico determinado, por lo que toda modificación que se haga del código, una vez recogida su adhesión, supone la alteración de las reglas del acuerdo y la necesidad de volver a contar con la adhesión de las entidades, lo que pone de manifiesto los efectos perjudiciales que supone 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del Gobierno de la Comunidad Autónoma de Aragón evacuó escrito el 9 de diciembre de 2016, solicitando el levantamiento de la suspensión de los preceptos impugnados, con base en las alegaciones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del Tribunal Constitucional sobre los incidentes de suspensión, pone de manifiesto que en algunos procesos incidentales, íntimamente relacionados con el presente, frente a los Autos de mantenimiento de la suspensión se han formulado votos particulares, cuya fundamentación se considera relevante en orden al levantamiento de la suspensión de las disposiciones impugnadas del Decreto-ley 3/2015. Cita específicamente el Voto particular formulado al ATC 69/2014, que transcribe literalmente; el Voto particular contenido en el ATC 115/2014; y el Voto particular que acompaña al ATC32/2015.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anterior, considera la Letrada que el levantamiento de la suspensión ningún perjuicio produciría ni al interés público ni a los intereses particulares de los terceros que pudieran verse afectados por los mandatos recogidos en lo preceptos y disposiciones impugnados, atendida su naturaleza y alcance. Y ello por cuanto su contenido se encuentra en la línea de la legislación estatal relativa a la adopción de medidas dirigidas a paliar los efectos de la exclusión social ante la grave crisis económica. Se trata de medidas complementarias a las previstas en la legislación estatal en orden a afrontar la “delicada situación de emergencia social que atraviesa una importante parte de la sociedad aragonesa”, que no puede satisfacer sus necesidades básicas.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a la vista de los argumentos expuestos en el recurso de inconstitucionalidad, es previsible que la Abogacía del Estado alegue, en defensa del mantenimiento de la suspensión del Decreto-ley, la existencia de menoscabo o lesión al sistema financiero español, lo que en modo alguno puede ser acogido. Basta advertir que, durante el período de vigencia de la norma autonómica, y hasta su suspensión ex art. 161.2 CE, las medidas adoptadas no tuvieron incidencia negativa alguna en la política económica del Estado, ni en el desarrollo del proceso de reestructuración bancaria.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Estima asimismo que los perjuicios que eventualmente pudieran generarse no serían irreparables o de difícil reparación, ni sería irreversible la situación creada por la vigencia de la norma legal impugnada ante una eventual futura declaración de inconstitucionalidad, ya que el carácter irreparable excluye, con carácter general, los perjuicios de naturaleza patrimonial. A ello se añade que el mantenimiento de la suspensión daría lugar a la existencia de perjuicios de imposible o difícil reparación, ya que imposibilitaría la puesta en práctica de las medidas dirigidas a combatir, de forma complementaria a la estatal, la situación de emergencia social y la exclusión social de los sectores más desfavorecidos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Letrada de las Cortes de Aragón presentó, en fecha 15 de diciembre de 2016, escrito sobre el presente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carácter excepcional del mantenimiento de la suspensión, como premisa básica, dado que toda norma con rango de ley de una Comunidad Autónoma goza de presunción de legitimidad, por ser fruto de la autonomía política y de la libre configuración del legislador. El Tribunal Constitucional ha hecho recaer sobre el Gobierno de la Nación la carga procesal de acreditar o, como mínimo, razonar consistentemente, la concurrencia de los graves perjuicios de imposible o muy difícil reparación que causarían a los intereses generales para mantener la suspensión de la ley o disposición con rango de ley impugnada, más allá de los cinco meses previstos constitucionalmente.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efectuar una mención a lo señalado por el Abogado del Estado en su escrito de demanda, señala que las disposiciones recurridas ya han estado vigentes nueve meses, sin que se hayan observado perjuicios irreparables para los intereses públicos, que legitimarían el mantenimiento de la suspensión. La nueva legislación aragonesa no ha hecho resentirse al sistema financiero, sin que se hayan producido efectos desfavorables sobre el conjunto de las entidades de crédito y demás incluidas en el ámbito de aplicación del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Rechaza la Letrada que la aplicación práctica de las previsiones contenidas en el Decreto-ley puedan tener potencialidad dañosa en el conjunto del sistema financiero, por el solo hecho de que las entidades financieras con viviendas desocupadas radicadas en Aragón deban ponerlas a disposición del sistema de vivienda de la Comunidad Autónoma, obligándose a aceptar como inquilinos de las mismas a las personas seleccionadas por la Administración entre las más vulnerables, con necesidad de una vivienda habitual, cuando se haya demostrado la insuficiencia de los convenios de colaboración voluntaria y de las viviendas del sector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también que las medidas articuladas por el Estado y las instrumentadas por la Comunidad Autónoma en el Decreto-ley 3/2015, no son contradictorias entre sí, sino que son fruto del ejercicio de distintas competencias que tienen elementos de tangencia. El Gobierno autonómico aprobó el Decreto-ley para reforzar la eficacia de las disposiciones estatales, ante la insuficiencia de éstas, acreditada con cifras, para lograr evitar el drama del desalojo de la vivienda habitual, en el caso de personas o familias especialmente vulnerables; siendo así que en algún caso, las medidas autonómicas recurridas no solo es que complementen las adoptadas por el Estado, sino que coinciden con éstas.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declaración de inembargabilidad de las prestaciones económicas reguladas por la Comunidad Autónoma para atender a colectivos en riesgo de exclusión social, situaciones de urgencia social, necesidades habitacionales de personas sin recursos o necesidades de alimentación, escolarización y demás necesidades básicas de menores o personas con discapacidad, cuando ellos y las personas a su cargo carezcan de medios económicos suficientes, la regulación autonómica coincide básicamente con lo ya establecido por el legislador estatal en el Real Decreto-ley 9/2015, en el que se incluyeron unas categorías generales de retribuciones económicas equivalentes a los sueldos y pensiones, a los efectos del art. 607 de la Ley de enjuiciamiento civil, no debiendo existir ningún inconveniente en que se interprete que tal operación de concreción es la que se ha llevado a cabo a través del Decreto-ley. El Gobierno aragonés ha identificado las ayudas establecidas por la Comunidad Autónoma que encajan dentro de la equivalencia con los sueldos y salarios declarados inembargables por el Estado. Interpretado el artículo 1 en estos términos ningún perjuicio irreparable puede causar a los intereses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escrito que no ha quedado acreditado que las disposiciones impugnadas incidan tampoco cualitativa o cuantitativamente en el sistema financiero, ni que pueda peligrar la reestructuración bancaria, el cumplimiento por España de los compromisos asumidos ante la Unión Europea, la posición financiera de las entidades de crédito o el mercado de cédulas y bonos hipotecarios. Por otro lado, las medidas arbitradas hasta ahora por el Estado no han dado solución al problema, siendo irrelevante, además, a efectos del presente incidente, que exista una regulación estatal que contenga medidas para reforzar la protección a los deudores hipotecarios o para garantizar el derecho a la vivienda, pues lo que ha de demostrarse es que la eficacia del Decreto-ley aragonés puede originar determinados perjuicios de imposible o muy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por último, que la presente disposición autonómica difiere de las cuatro leyes autonómicas que han adoptado medidas en materia de vivienda y que han sido recurridas por el Estado, pue en el presente caso no hay expropiación del uso de las viviendas desocupadas de determinadas entidades; es decir, no hay una transferencia coactiva y temporal de la titularidad de las viviendas. En la norma aragonesa no hay privación del derecho de propiedad a los legítimos titulares de las viviendas desocupadas, sino imposición del deber de arrendarlas a quienes diga la Administración autonómica, que se autoobliga también a abonarles la diferencia entre la renta máxima que se considere puede pagar la persona o unidad de convivencia, y la aplicable a la vivienda de que se trate. El Gobierno aragonés no ha previsto tampoco sanciones para las entidades financieras, las sociedades inmobiliarias bajo su control, y la SAREB por el hecho de no dar ocupación efectiva a sus viviendas; sólo ha previsto la obligación de que dichas entidades las cedan a la Administración de la Comunidad Autónoma cuando estén desocupadas, siendo el incumplimiento de la obligación de cesión lo que resulta ejecutable forzosamente, mediante multas coercitivas. Por todo ello, el artículo 12 no es idéntico a ninguno de los preceptos impugnados en las leyes autonómicas sobre esta materia.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procede mantener o levantar la suspensión de la vigencia de los arts. 1, 9, 12, así como las disposiciones transitorias segunda y tercera, y disposición adicional cuarta del Decreto-ley 3/2015, de 15 de diciembre, del Gobierno de Aragón, de medidas urgentes en materia de prestaciones económica de carácter social, pobreza energética y acceso a la vivienda; estos preceptos se encuentran suspendidos en su aplicación como consecuencia de la invocación de los arts. 161.2 CE y 30 de la Ley Orgánica del Tribunal Constitucional (LOTC) por el Presidente del Gobierno en su escrito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representaciones procesales del Gobierno y del Parlamento de Aragón han solicitado el levantamiento anticipado de la suspensión, conforme ha quedado expresado en los antecedentes, mientras que el Abogado del Estado se opone a esta pretensión, e interesa que se mantenga la suspensión, con una argumentación que, en relación a algunos de los preceptos, es sustancialmente coincidente con la expuesta en los incidentes cautelares que fueron resueltos por este Tribunal con el mantenimiento de la suspensión de los preceptos impugnados de las leyes autonómicas correspondientes, en los AATC 69/2014, de 10 de marzo (en el recurso contra diversos preceptos de la Ley 24/2013, de 2 de julio, de Navarra, de medidas urgentes para garantizar el derecho a la vivienda); 115/2014, de 8 de abril (en el recurso contra diversos preceptos de la Ley 4/2013, de 1 de octubre, de la Comunidad Autónoma de Andalucía, de medidas para asegurar el cumplimiento de la función social de la vivienda); 135/2015, de 21 de julio (en el recurso contra diversos preceptos de la Ley 2/2014, de 20 de junio, de modificación de la Ley 2/2003, de 30 de enero, de vivienda de Canarias y de medidas para garantizar el derecho a la vivienda); 144/2016, de 19 de julio (en recurso contra diversos preceptos de la Ley del Parlamento Vasco 3/2015, de 18 de junio, de vivienda); y 160/2016, de 20 de septiembre (en el recurso de inconstitucionalidad interpuesto contra determinados preceptos de la Ley del Parlamento de Cataluña 24/2015, de 29 de julio, de medidas urgentes para afrontar la emergencia en el ámbito de la vivienda y la pobreza energética).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de levantamiento anticipado de la suspensión, sin esperar el transcurso de los cinco meses previsto en el art. 161.2 CE resulta viable procesalmente. Conforme a nuestra reiterada doctrina al respecto,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AATC 222/1995, de 18 de julio, FJ 1; 75/2010, de 30 de junio, FJ 2; 88/2013, de 23 de abril, FJ 2, y 196/2015, de 18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conforme a la cual la suspensión de la disposición o acto objeto de un conflicto es una medida cautelar dirigida a prevenir las repercusiones perjudiciales que fueran consecuencia de la ejecución de aquellas decisiones durante la tramitación del proceso, por poderse generar situaciones de imposible o difícil reparación para los intereses comprometidos. Es preciso ponderar, de un lado, los intereses en presencia, tanto el general y público como el particular y privado de terceras personas afectadas, y, de otro, los perjuicios de imposible o difícil reparación que la medida, según su sentido, pudiera deparar.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ha destacado nuestra doctrina que esa valoración debe efectuarse mediante el estricto examen de las situaciones de hecho creadas por los preceptos discutidos y al margen de la viabilidad de las pretensiones que en la demanda se formulan, pues la interpretación de las reglas de deslinde competencial que al caso hagan debe, obviamente, quedar diferida a la sentencia que resuelva la controversia competencial. Por último, no es ocioso recordar que no basta para decidir la suspensión la mera invocación de aquellos perjuicios, sino que es preciso demostrar o, al menos, razonar consistentemente su procedencia y la imposible o difícil reparación de los mismos, ya que debe partirse, en principio, de la existencia de una presunción de constitucionalidad en favor de las normas o actos objeto del conflicto (por todos AATC 100/2002, de 5 de junio, FJ 2; 355/2007, de 24 de julio, FJ 2; 225/2009, de 10 de diciembre, FJ 2; 44/2011, de 12 de abril, FJ 2; 86/2012, de 8 de mayo, FJ 2, y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abordar el examen de las alegaciones formuladas por la Abogacía del Estado a favor de mantener la suspensión de la vigencia y aplicación de los preceptos recurridos del Decreto-ley 3/2015, de 15 de diciembre, así como las de las representaciones procesales del Gobierno y del Parlamento de Aragón en pro del levantamiento de la misma, resulta conveniente distinguir los dos bloques diferenciados en que pueden encuadrarse los preceptos impugnados: por un lado, el artículo 1 y la disposición transitoria tercera; por otro, los artículos 9, 12, así como la disposición transitoria segunda y disposición adicional cuarta.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 dispone la inembargabilidad de las prestaciones económicas establecidas por la Comunidad Autónoma para atender a colectivos en riesgo de exclusión social, situaciones de urgencia social, necesidades habitacionales de personas sin recursos o necesidades de alimentación escolarización y demás necesidades básicas de menores o personas con discapacidad, cuando ellos y las personas a su cargo carezcan de los medios económicos suficientes. La disposición transitoria tercera contempla la aplicación retroactiva de las disposiciones del Decreto-ley, a los procedimientos de embargo en que, a la entrada en vigor, todavía no se haya acordado o dictado resolución de embargo de las ayudas previstas en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fundamenta su solicitud de mantenimiento de la suspensión, en que la eficacia de los preceptos vendría a introducir inseguridad jurídica en las personas beneficiarias, derivada de la posibilidad de que el recurso fuera posteriormente estimado y debieran devolverse las cantidades declaradas inembargables ya percibidas, lo que produciría graves y evidentes perjuicios económicos en personas que se encuentran ya en grave riesgo de exclusión social. Se alega asimismo que la legislación estatal, en concreto el art. 4 del Real Decreto-ley 9/2015, de 10 de julio, de medidas urgentes para reducir la carga tributaria soportada por los contribuyentes del impuesto sobre la renta de las personas físicas y otras medidas de carácter económico, contempla una medida similar a la prevista en la normativa autonómica, por lo que la coexistencia de dos tipos de normas sobre la misma materia es susceptible de causar inseguridad jurídica en los órganos jurisdiccionales y en la autoridades administrativas, que habrán de discernir cuál de las dos normas han de aplicar.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del Abogado del Estado no pueden ser sin embargo aceptados, pues ya hemos tenido ocasión de señalar que los daños que pudieran producirse a la seguridad jurídica o a los intereses de los afectados derivados de la confluencia entre una regulación estatal y otra autonómica,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(AATC 398/2005, de 8 de noviembre, FJ 6, y 303/2006, de 12 de septiembre, FJ 5,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respecta, en concreto, a la presunta afectación a los intereses de los particulares, lo expuesto por el Abogado del Estado no pasa de ser una alegación genérica e hipotética, vinculada al resultado final del proceso, y carente de un mínimo de sustento argumental sobre la certeza, efectividad y alcance de esos hipotéticos perjuicios; y como ha reiterado este Tribunal, el presente incidente no puede servir para “conjurar riesgos inciertos y desconectados por entero del objeto sobre el que imprescindiblemente ha de versar” (AATC 221/2009, de 21 de julio, FJ 4; y 24/2011, de 3 de marzo, FJ 4). Por las razones expuestas, procede acordar el levantamiento de la suspensión de la vigencia del art. 1 y la disposición transitoria tercera del Decreto-ley 3/2015.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segundo bloque de preceptos impugnados está integrado por los artículos 9, 12, así como la disposición transitoria segunda y disposición adicional cuarta; antes de abordar su examen, resulta oportuno hacer una sintética referencia al contenido de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9 del Decreto-ley 3/2105 declara la suspensión de los lanzamientos en procesos judiciales o extrajudiciales de ejecución hipotecaria de personas en situación de especial vulnerabilidad, cuando su vivienda habitual se adjudique al acreedor o a un tercero por él propuesto, hasta que se ofrezca una alternativa habitacional por parte de la Administración. Este precepto será de aplicación a los procesos judiciales o extrajudiciales de ejecución hipotecaria iniciados a la entrada de la disposición reglamentaria que defina el marco de especial vulnerabilidad, siempre que en dicha fecha no se hubiere ejecutado el lanzamiento (disposición transitoria segunda).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12 dispone la cesión de viviendas desocupadas situadas en Aragón, que sean propiedad de entidades financieras, sociedades inmobiliarias bajo su control y la Sociedad de Gestión de Activos Procedentes de la Reestructuración Bancaria, S.A., y que provengan de un procedimiento de ejecución hipotecaria, de pago o dación en pago de deudas con garantía hipotecaria. Éstas deberán ser puestas a disposición de la Comunidad Autónoma, cuando sea necesario para dar satisfacción a las necesidades de alojamiento de personas o unidades de convivencia en situación de vulnerabilidad. El órgano competente designará a los destinatarios de dichas viviendas y la entidad titular de la vivienda estará obligada a otorgar título suficiente para el uso, bajo la fórmula preferente de arrendamiento o, excepcionalmente otras que resulten admisibles en derecho, garantizando la correspondiente contraprestación. En caso de incumplimiento o demora por parte de la entidad titular de la vivienda, de las obligaciones de cesión previstas, se contempla la posibilidad de imposición de multas coercitivas.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disposición adicional cuarta determina la obligación de que las medidas contempladas en el código de buenas prácticas para la reestructuración viable de las deudas con garantía hipotecaria sobre la vivienda habitual (Real Decreto-ley 6/2012, de 9 de marzo, de medidas urgentes de protección de deudores hipotecarios sin recursos) se desarrollen dentro del sistema de mediación hipotecaria implantado por las Administraciones públicas aragonesas.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contenido de los preceptos impugnados es muy similar, aunque no coincida exactamente, con el de las leyes autonómicas en materia de vivienda antes citadas, también recurridas antes este Tribunal y respecto de las que han recaído los citados AATC 69/2014; 115/2014, 135/2015, 144/2016, y 160/2016. La norma aragonesa comparte con la normativa autonómica impugnada la previsión de medidas de suspensión de lanzamientos en determinadas circunstancias; la cesión forzosa de viviendas, y la inferencia en el código de buenas prácticas establecido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daños y perjuicios de imposible o difícil reparación invocados en este caso por el Abogado del Estado son los mismos que se pusieron de manifiesto y se valoraron por este Tribunal en los referidos AATC 69/2014, 115/2014, 32/2015, 135/2015, y 144/2016. No habiendo las partes traído a colación nuevos elementos entonces no considerados, el resultado de nuestra ponderación debe ser el mismo que entonces, y en consecuencia, debe mantenerse la suspensión de los arts. 9, 12, la disposición transitoria segunda y disposición adicional cuarta del Decreto-ley 3/2015, por las razones expuestas en los Autos de este Tribunal citados, que son, de forma sucinta, y proyectadas al presente caso,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Existe un perjuicio cierto para el interés general que subyace en el buen funcionamiento y estabilidad del sistema financiero en su conjunto; en la medida en que los preceptos impugnados inciden, aunque en términos cuantitativamente reducidos, en el sistema financiero en su conjunto, generan una desconfianza en el sistema crediticio globalmente considerado, ponen en riesgo la estabilidad del sistema financiero, producen un menoscabo en la reestructuración bancaria apoyada con dinero público y en el cumplimiento por España de sus compromisos internacionales. Se advierte también del efecto acumulativo de dichos perjuicios, al sumarse a lo previsto por las otras leyes autonómicas en materia de vivienda anteriormente mencionadas que han sido impugnadas también por el Presidente del Gobierno (AATC 69/2014, FFJJ 5, 6 y 7; 115/2014, FJ 5; 131/2015, FJ 3, y 144/2016,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perjuicios para los intereses públicos se producen, según los informes del Banco de España y del Ministerio de Economía y Competitividad que han sido aportados por la Abogacía del Estado, “en aplicación del conjunto de medidas contenidas en los preceptos impugnados y no como consecuencia de cada una de ellas por separado, lo que determina la improcedencia a estos efectos de un examen individualizado de los mismos por su inescindible conexión y repercusión en el sistema financiero en su conjunto” (AATC 69/2014, FJ 7, y 144/2016, FJ 5). Desde la óptica que nos ocupa poco importa que el programa de asistencia financiera a España, acordado por el Eurogrupo el 9 de julio de 2012 (memorando de entendimiento sobre condiciones de política sectorial financiera firmado el 20 de julio de 2012) con una duración de 18 meses, haya llegado a su fin de un modo satisfactorio. Las condiciones impuestas, lejos de estar consumadas, siguen vigentes y desplegando sus efectos, que han de sujetarse a los compromisos asumidos por España dentro de la Unión Europa, en particular en lo relativo a las ayudas de Estado. En el marco de esta supervisión las autoridades europeas competentes ya han examinado medidas legislativas autonómicas similares a las contenidas en el Decreto-ley 3/2015; expresan su preocupación en cuanto que dichas medidas han generado incertidumbres legales y económicas sobre los bancos españoles, con posibles efectos negativos sobre la estabilidad del sistema financiero español en su conjunto, tanto de forma directa como indirecta. En particular, han destacado el potencial impacto negativo de las iniciativas autonómicas de protección de los deudores hipotecarios para las actividades de la Sociedad de Gestión de Activos Procedentes de la Reestructuración Bancaria. Esos argumentos de las autoridades europeas son compartidas por el Banco de España, como se refleja en el documento adjunto que aporta junto a su escrito de alegaciones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se produciría un daño para la seguridad jurídica, que no deriva de que las actuaciones de la Administración de la Comunidad Autónoma puedan quedar en entredicho si la resolución de fondo que se dicte en el recurso de inconstitucionalidad fuera favorable al Estado, sino de la mera convivencia sobre una misma realidad material de regímenes jurídicos dispares con idéntico objetivo (AATC 69/2014, FJ 8; 131/2015, FJ 3, y 144/2016,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 tenerse en cuenta que, como se recuerda en la STC 93/2015, de 14 de mayo, “el Estado ha dictado una normativa en la que, incidiendo de un modo limitado en el sistema de ejecución hipotecaria, atiende a la situación de quienes, por habitar viviendas constituidas como colateral de un préstamo que ha quedado impagado, están en riesgo de perderla. Adoptó al efecto el Real Decreto-ley 27/2012, de 15 de noviembre, que luego se ha convertido, en virtud de la tramitación parlamentaria como proyecto de ley, en la Ley 1/2013, de 14 de mayo, de medidas para reforzar la protección a los deudores hipotecarios, reestructuración de deuda y alquiler social; ha sido modificada parcialmente por el art. 3 del Real Decreto-ley 1/2015, de 27 de febrero, de mecanismo de segunda oportunidad, reducción de carga financiera y otras medidas de orden social”, posteriormente convertido en la Ley 25/2015, de 28 de julio. “estas previsiones tienen una conexión relevante con el objetivo de normalizar los mercados hipotecarios y con ello asentar el funcionamiento del sistema financiero” y con las mismas el Estado define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(STC 93/2015,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perjuicios derivados de la suspensión y consistentes en el menoscabo del interés público al que responde la norma autonómica, esto es, la garantía del derecho a la vivienda y el interés privado de los colectivos más vulnerables que se verían beneficiados, resultan notoriamente reducidos, porque el Estado también ha dispuesto normas que atienden a estos mismos intereses (AATC 69/2014, FJ 9; 115/2014, FJ 5; 32/2015, FJ 6; 135/2015, FJ 3, y 144/2016,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el caso, como se recuerda en el ATC 69/2014, FJ 9, del ya citado Real Decreto-ley 27/2012, de 15 de noviembre, de medidas urgentes para reforzar la protección a los deudores hipotecarios (derogado tras ser tramitado como ley por la igualmente citada Ley 1/2013, de 14 de mayo, de medidas para reforzar la protección a los deudores hipotecarios, reestructuración de deuda y alquiler social, modificada parcialmente por el Real Decreto-ley 1/2015, de 27 de febrero, de mecanismo de segunda oportunidad, reducción de carga financiera y otras medidas de orden social), en el que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disposiciones reseñadas cabría añadir otras de no menor relevancia, como el Real Decreto-ley 6/2012, de 9 de marzo, de medidas urgentes de protección de deudores hipotecarios sin recursos, el Real Decreto 27/2012, de 15 de noviembre, de medidas urgentes para reforzar la protección a los deudores hipotecarios y el plan estatal de fomento del alquiler de viviendas, la rehabilitación edificatoria, la regeneración y renovación urbanas 2013-2016, aprobado por Real Decreto 233/2013, de 5 de abril. El Estado ha aprobado también el Real Decreto-ley 1/2015, de 27 de febrero, del mecanismo de segunda oportunidad, reducción de carga financiera y otras medidas de orden social, luego convertido en la Ley 25/2015, de 28 de julio, que contiene medidas de diferente naturaleza encaminadas tanto a la protección de aquellos deudores de un crédito o préstamo garantizado con hipoteca sobre su vivienda habitual, como a ampliar la protección de colectivos especialmente vulnerables. Entre esas medidas cabe destacar la segunda oportunidad en el ámbito concursal para deudores de buena fe con cargas, que incluye, por primera vez, a las personas físicas; la suspensión de las ejecuciones durante el plazo de negociaciones; la ampliación del colectivo protegido por el código de buenas prácticas para deudores hipotecarios y la prórroga adicional de los desahucios (que vencía en mayo de 2016) por dos años más. En relación a esto último, la disposición adicional cuarta, al obligar al empleo de la mediación allí donde el Estado no la ha previsto, alterando la configuración del código de buenas prácticas regulado en el Real Decreto-ley 6/2012, impone un mecanismo de resolución extrajudicial de conflictos que afecta a las medidas articuladas por el Estado para la protección de los deudores hipotecarios.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código implantado por el citado Real Decreto-ley 6/2012 se fundamenta en la adhesión voluntaria de las entidades de crédito y contiene un régimen concreto sobre el modo en que ha de articularse la relación entre la entidad de crédito y el deudor, con la finalidad de lograr la reestructuración de la deuda, la quita o, finalmente, la dación en pago. Es decir, la norma estatal configura un sistema basado en la relación directa entre la entidad de crédito y el deudor hipotecario que se ve aquí puesto en cuestión por la decisión autonómica de que dichas negociaciones con el deudor hipotecario se desarrollen en un marco institucional determinado en el que se impone la intervención de un tercero, el mediador. Obliga, por tanto, al empleo de la mediación allí donde el Estado no lo ha previsto, alterando de ese modo la configuración del propio código de buenas prácticas regulado en el Real Decreto-ley 6/2012, con el consiguiente riesgo para que la norma estatal pueda desplegar sus efectos en la forma que ha sido diseñada. Riesgo de interferencia en una medida adoptada por el Estado para proteger a los deudores hipotecarios que ha de conducir al mantenimiento de la suspensión de la disposición adicional cuarta.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procede reiterar la misma conclusión sentada en los AATC 69/2014, FJ 10, 115/2014, FJ 5, 144/2016, FJ 5, y 160/2016, FJ 4, en cuanto que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arts. 9, 12, así como de las disposiciones transitoria segunda y adicional cuarta, del Decreto-ley 3/2015, de 15 de diciembre, del Gobierno de Aragón, de medidas urgentes en materia de prestaciones económica de carácter social, pobreza energética y acceso a la vivienda.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art. 1 y la disposición transitoria tercera del Decreto-ley 3/2015.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formulan la Magistrada doña Adela Asua Batarrita y los Magistrados don Fernando Valdés Dal-Ré y don Juan Antonio Xiol Ríos, al Auto de 31 de enero de 2017, dictado en el incidente de suspensión del recurso de inconstitucionalidad núm. 4952-2016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todo el respeto que nos merece la opinión de la mayoría, debemos manifestar nuestra discrepancia con el mantenimiento de la suspensión de los artículos 9 y 12 y las disposiciones transitoria segunda y adicional cuarta del Decreto-ley 3/2015, de 15 de diciembre, del Gobierno de Aragón, de medidas urgentes en materia de prestaciones económicas de carácter social, pobreza energética y acceso a la vivienda, impugnados en este proceso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disposiciones mencionadas presentan un contenido similar al de los preceptos, también recurridos ante este Tribunal, de la Ley Foral 10/2010, de 10 de mayo, de derecho a la vivienda en Navarra; de la Ley 4/2013, de 1 de octubre, de la Comunidad Autónoma de Andalucía, de medidas para asegurar el cumplimiento de la función social de la vivienda; de la Ley 2/2014, de 20 de junio, de modificación de la Ley 2/2003, de 30 de enero, de vivienda de Canarias y de medidas para garantizar el derecho a la vivienda; de la Ley del Parlamento Vasco 3/2015, de 18 de junio, de vivienda; y de la Ley del Parlamento de Cataluña 24/2015, de 29 de julio, de medidas urgentes para afrontar la emergencia en el ámbito de la vivienda y la pobreza energética.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intereses que podrían verse afectados por el levantamiento de la suspensión de la Ley autonómica que, en este incidente, alega el Abogado del Estado son, como se reconoce en los fundamentos jurídicos 1 y 4, los mismos que expuso en los incidentes de suspensión que dieron lugar a los AATC 69/2014, de 10 de marzo, 115/2014, de 8 de abril, 135/2015, de 21 de julio, 144/2016, de 19 de julio, y 160/2016, de 20 de septiembre.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consecuencia, por las mismas razones que pusimos de manifiesto en los votos particulares que suscribimos en dichos casos y a las que ahora nos remitimos, creemos que no ha quedado acreditado que la inmediata aplicación del Decreto-ley 3/2015 pueda acarrear más daño al interés general que el derivado de la contradicción denunciada con la legislación estatal. Ello no es, sin duda, razón suficiente para enervar la presunción de validez de las disposiciones legales autonómicas. De ahí que el Auto del que discrepamos debiera haber acordado el levantamiento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Debemos insistir, una vez más, en que el presente Auto, que rechaza el levantamiento de la suspensión de la mayoría de los preceptos impugnados, se fundamenta en la misma concepción sobre la afectación directa al mercado hipotecario y el consiguiente riesgo para la estabilidad del sistema financiero que se mantuvo hace tres años (ATC 69/2014, de 10 de marzo), sin tener en cuenta los cambios desde entonces y la reconocida mejoría de la situación macroeconómica en España. Sin embargo, el Auto asume el argumento del Abogado del Estado de la necesidad de cumplir con las condiciones impuestas al Estado en el ámbito europeo (se sobreentiende que se refiere a la devolución de la ayuda financiera recibida del Mecanismo Europeo de Estabilidad), lo cual, en la práctica, proyecta sobre futuras medidas autonómicas en relación con las viviendas desocupadas una especie de moratoria por un prolongado espacio temporal que podría extenderse hasta los quince años. Ello constituye una concepción altamente perturbadora para el ejercicio efectivo de la competencia autonómica exclusiva en materia de vivienda.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treinta y uno de enero de dos mil diecisiete.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