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11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292-2015, promovido por el Consejo de Gobierno de la Junta de Andalucía y, en su representación y defensa por el Letrado de dicha Junta, en relación con los artículos 4, 5, 6 y 7 y el anexo I de la Ley 18/2014, de 15 de octubre, de aprobación de medidas urgentes para el crecimiento, la competitividad y la eficiencia.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enero de 2015, el Letrado de la Junta de Andalucía, en la representación que legalmente ostenta, promueve recurso de inconstitucionalidad contra los artículos 4, 5, 6 y 7 y el anexo I de la Ley 18/2014, de 15 de octubre,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la demanda pone de manifiesto que la disposición recurrida es fruto de la tramitación como ley del Real Decreto-ley 8/2014, de aprobación de medidas urgentes para el crecimiento, la competitividad y la eficiencia, por lo que, excepto alguna modificación de tipo técnico, la presente ley reproduce el contenido de los artículos 4, 5, 6 y 7 y el anexo I, del Real Decreto-ley 8/2014. En relación con este último, el Consejo de Gobierno de la Junta de Andalucía adoptó en su momento el acuerdo de recurrir los mismos preceptos, con fundamento en la vulneración del artículo 86.1 CE por utilización abusiva de la figura del decreto-ley, así como por vulneración del artículo 149.1.13 y 18 CE. Afirma a este respecto el Letrado autonómico que la pendencia del recurso interpuesto contra el Real Decreto-ley 8/2014 no impide la formulación del presente recurso de inconstitucionalidad contra la Ley 18/2014, pues la doctrina constitucional ha puesto de manifiesto que el análisis de constitucionalidad de la ley aprobada por las Cortes, por la que se convalida un decreto-ley ex artículo 86.3 CE, ha de hacerse mediante la interposición de un nuevo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recurso, considera el escrito de demanda que la regulación que efectúan los preceptos impugnados desborda el concepto de normativa básica e invade las competencias que en materia de desarrollo normativo y ejecución corresponden a la Comunidad Autónoma en materia de comercio, con infracción de lo dispuesto en los artículos 149.1.13 y 149.1.18 CE, y del artículo 58.1.1 del Estatuto de Autonomía para Andalucía. Los motivos de impugnación,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4, 5 y 7 y el anexo I, regulan la declaración de zona de gran afluencia turística, flexibilizando los requisitos para su declaración y las consecuencias de la no declaración por parte de la Comunidad Autónoma en determinados plazos, y estableciendo en el anexo I dos ciudades que directamente reúnen los requisitos para ser declaradas como tales (Jerez y Marbella); los preceptos se reputan inconstitucionales por vulnerar las competencias autonómicas en materia de comercio interior y exceder del título competencial previsto en 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con una extensa apelación a lo señalado por la doctrina constitucional en esta materia, que, aun cuando las competencias autonómicas en materia de comercio interior resultan limitadas por las competencias constitucionalmente reconocidas al Estado que inciden sobre la actividad comercial, tanto en lo relativo a los calendarios y horarios comerciales, como en materia de modalidades de venta y formas de prestación de la actividad comercial, al tratarse de una competencia transversal que puede afectar a una multiplicidad de materias, el título genérico del artículo 149.1.13 CE no puede ser utilizado por el Estado en un sentido expansivo que impida esa diversidad; y ello porque, en términos de la jurisprudencia constitucional, el presupuesto de un único orden económico y de un mercado nacional, no excluye la existencia de la diversidad jurídica que resulta del ejercicio por los órganos autonómicos de competencias normativas sobre un sector económico, cuando éstas han sido asumidas en su Estatuto de Autonomía, resultando legítima la diversidad de regímenes en la medida en que las diferencias y peculiaridades introducidas resulten adecuadas a su finalidad y se respete la igualdad básica de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proyección del título competencial estatal sobre la materia en cuestión, la jurisprudencia constitucional ha declarado que la fijación de un régimen de libertad de horarios comerciales para determinados establecimientos y zonas, es una opción que, por su carácter de excepción al régimen general en materia de horarios comerciales, precisa de una decisión unitaria y homogénea para el conjunto del Estado, aunque cuando la misma se haya formulado con carácter abierto, de forma que su plasmación concreta precisa de las decisiones que al efecto adopte la Comunidad Autónoma, en cuanto titular de las competencias sobre comercio interior. El propio Tribunal ha declarado, en relación a la Ley 1/2004, de horarios comerciales, que las normas básicas no pueden ser tan minuciosas o exhaustivas que no dejen espacio alguno a las competencias autonómicas en esta materia, y permitan que cada Comunidad Autónoma pueda establecer sistemas singularizados en materia de horario de apertura de los establecimientos comerciales. Considera el Letrado que, en el caso que nos ocupa, tales limitaciones a la competencia estatal se transgreden, y ello porque, tras la conformación de un plazo para que las Comunidades Autónomas resuelvan y notifiquen, prevé que, transcurrido el mismo, no se entenderá realizada la declaración de zona de gran afluencia turística, sino que además ésta se extenderá a todo el municipio, con lo que es el Estado el que directamente actuaría, en contra de las reseñada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motivos de impugnación del artículo 6, señala el letrado que, además de los esgrimidos en relación al resto del articulado, no existe justificación constitucional suficiente para la emanación de esta norma básica, pues las bases se encuentran ya en la Directiva 2006/123/CE, de 12 de diciembre de 2006, del Parlamento Europeo y del Consejo, relativa a los servicios en el mercado interior. Por lo tanto, lo que se realiza es una alteración en la relación jurídica entre una Directiva europea (la Directiva de Servicios) y la entidad político-administrativa competente en materia de comercio interior, para transponer la Directiva, que es la Junta de Andalucía. Así lo hizo a través de la Ley 3/2010, de 21 de mayo, por la que se modificaban diversas leyes para la transposición en Andalucía de la mencionada Directiva. Añade el letrado que competencias transversales como las del artículo 149.1.13 y artículo 149.1.18 CE no deben utilizarse de forma adjetiva cuando ya las bases han sido establecidas por una Directiva del Parlamento Europeo y del Consejo, pues de esta manera lo que se consigue es distorsionar el mecanismo competencial de transposición de directivas europeas, que no se atribuye monopolísticamente al Estado sino a la entidad político-administrativa con competencias sustantivas y directas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febrero de 2015, el Pleno, a propuesta de la Sección Tercera, acordó admitir a trámite el presente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15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24 de febrero de 2015, el Abogado del Estado, en la representación que legalmente ostenta, se personó en el referido recurso y solicitó una prórroga por el máximo legal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25 de febrero siguiente, el Pleno acordó tener por personado al Abogado del Estado, en la representación que legalmente ostenta y prorrogar en ocho días el plazo concedido,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Mesa del Congreso de los Diputados, por escrito de su Presidente de 25 de febrero de 2015, acuerda dar por personada a la Cámara en este procedimiento y por ofrecida su colaboración a los efectos del artículo 88.1 LOTC. En idéntico sentido se pronuncia la Mesa del Senado, en escrito de su Presidente, registrado en fecha 4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24 de marzo de 2015 tiene entrada en el registro general de este Tribunal el escrito de alegaciones que formula el Abogado del Estado, en la representación que legalmente ostenta, en el que solicita la desestimación íntegra del recurso de inconstitucionalidad formulado, por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legislación estatal reguladora de los horarios comerciales, y en general la normativa referente a aspectos propios del comercio minorista, cuando no traspasa los contornos de lo que puede entenderse como básico, es una materia que se integra, desde una perspectiva jurídico-constitucional, en el título competencial atribuido al Estado en el artículo 149.1.13 CE, y así lo ha entendido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libertad de horarios comerciales puede encuadrarse conceptualmente como un subsector específico de la materia de comercio interior. Cierto es que a priori la regulación de este ámbito se halla atribuida en los Estatutos de Autonomía, y generalmente de manera exclusiva, a la competencia autonómica; y así ocurre, en el caso de Andalucía, en el artículo 58.1.1 de su Estatuto. Pero esta atribución competencial exclusiva no impide, como el propio precepto estatutario explicita, la confluencia o intersección del título del Estado sobre la ordenación general de la economía, que puede afectar a un subsector determinado y concreto (como el de la libertad de horarios comerciales en las denominadas zonas de gran afluencia turística) dentro del más amplio que es el de comercio interior, y así lo ha sostenido con carácter general la jurisprudencia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representante estatal que resulta ajustado a la Constitución que el Estado, utilizando de manera legítima su título competencial para la ordenación económica general, incida, por razones constitucionalmente justificadas, sobre aspectos puntuales de la actividad comercial, como por ejemplo, el de la liberalización de determinados ámbitos del sector comercio interior; en concreto, la liberalización de los horarios comerciales, que en el presente supuesto se produce en función de la declaración de zonas de gran afluencia turística, de acuerdo con la Ley 1/2004, de 21 de diciembre, de horarios comerciales, en su redacción dada por la Ley 18/2014. Esta posibilidad de incidencia transversal específica constituye doctrina consolidada, en particular en relación con la regulación de los horarios comerciales y de determinados aspectos de la realidad económico-social del comercio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los artículos 4 a 7 y el anexo I de la Ley 18/2014, contienen una regulación que amplía el alcance liberalizador de los horarios comerciales, que se establecía hasta el momento en el Real Decreto-ley 20/2012, legislación esta última de carácter básico, tal y como lo ha declarado la jurisprudencia constitucional. Con la extensión de dicho régimen básico, la normativa estatal viene a profundizar el marco general liberalizador de la economía del país, en este concreto subsector.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declarado, asimismo, que es al ente territorial titular de la competencia básica, a quien corresponde delimitar, dentro de la Constitución, la extensión que en cada circunstancia debe tener lo básico, en función de las exigencias del interés general. El legislador estatal, al extender el ámbito material de lo básico, debe respetar los límites máximos a los que pueden alcanzar las bases en una materia, pero, respetando ese límite, el Estado puede optar, en función de las circunstancias, por reconocer mayor o menor margen de desarrollo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título competencial del artículo 149.1.13 CE, ha declarado el Tribunal que el ejercicio por el Estado de la mencionada competencia es compatible con la existencia de competencias exclusivas de las Comunidades Autónomas sobre determinados subsectores económicos, competencias que quedarán, no obstante, condicionadas por las medidas estatales dirigidas efectivamente a un objetivo de planificación económica y que, por tanto, deberán acomodarse a las directrices generales establecidas por el Estado con esa finalidad. Precisamente por su carácter liberalizador, el efecto de las normas estatales no puede ser enervado por un eventual desarrollo autonómico de la normativa estatal, aun cuando ello no pueda implicar un vaciamiento de las competencias autonómicas. Tratándose de normativa básica, en el doble sentido, material y formal, ésta debe ser asumida por las Comunidades Autónomas como marco de actuación en su actividad reguladora y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el Abogado del Estado, en relación al contenido de los preceptos impugnados, en que se trata de adaptaciones legislativas, que únicamente amplían el ámbito de la liberalización ya efectuada conforme a normas estatales ya enjuiciadas en anteriores Sentencias de este Tribunal (SSTC 88/2010, de 15 de noviembre, y 26/2012, de 1 de marzo), por lo que su sola reforma no supone una circunstancia que altere los criterios jurisprudenciales expuestos en esas sentencias. Además, no se suprime el margen de decisión de las Administraciones territoriales que intervienen en la declaración de zonas de gran afluencia turística, en su régimen y en el otorgamiento de las autorizaciones que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con lo dispuesto en el artículo 6, afirma el Abogado del Estado que la competencia estatal reguladora de las limitaciones y régimen jurídico de las autorizaciones que pueden otorgar las Administraciones Públicas para la apertura, traslado y ampliación de establecimientos comerciales, encuentra amparo en lo dispuesto en el artículo 149.1.13 CE, y constituye transposición de una normativa europea, ya en su primera fase transpuesta por la Ley 17/2009, de 23 de noviembre, que impone tal grado de liberalización del subsector correspondiente de los establecimientos comerciales, en relación con el régimen de intervención de las Administraciones públicas. Afirma la Abogacía del Estado que, en ausencia de margen regulatorio de maniobra, no es contradictorio con el régimen de reparto competencial entre el Estado y las Comunidades Autónomas en un concreto punto o aspecto afectado por dicha regulación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28 de abril de 2017, la Magistrada Doña María Luisa Balaguer Callejón comunicó su voluntad de abstenerse en el conocimiento del presente recurso de inconstitucionalidad, por entenderse incluida en el epígrafe 13 del artículo 219 de la Ley Orgánica del Poder Judicial (LOPJ) (haber ocupado cargo público, con ocasión del cual haya participado directa o indirectamente en el asunto objeto de la causa). Por Auto de 9 de mayo de 2017, el Pleno de este Tribunal acordó estimar justificada la abstención formulada, apartándola definitivamente del conocimiento del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mayo de 2017,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el Consejo de Gobierno de la Comunidad Autónoma de Andalucía en relación con los artículos 4, 5, 6 y 7 y el anexo I, de la Ley 18/2014, de 15 de octubre,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más ampliamente ha quedado expuesto en los antecedentes, la Comunidad Autónoma fundamenta la inconstitucionalidad de los preceptos controvertidos, en que su regulación excede de la competencia estatal básica que, en materia de ordenación general de la economía, atribuye al Estado el artículo 149.1.13 CE, con la consiguiente vulneración de las competencias autonómicas en materia de comercio interior, contempladas en el artículo 58.1.1 de su Estatuto de Autonomía. El Abogado del Estado, por las razones que han quedado también expuestas en los antecedentes, interesa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18/2014, de 15 de octubre, de aprobación de medidas urgentes para el crecimiento, la competitividad y la eficiencia trae causa de la tramitación como proyecto de ley del Real Decreto-ley 8/2014, de 4 de julio, de idéntico enunciado. Como expresamente reconoce el texto de la demanda, y como ya tuvimos ocasión de advertir en las SSTC 195/2016, de 16 de noviembre, FJ 2, y 214/2016, de 15 de diciembre, FJ 2, existe una sustancial coincidencia entre el texto de la Ley 18/2014 y el texto del Real Decreto-ley 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46/2017, de 27 de abril, y con ocasión del recurso de inconstitucionalidad también formulado por el Consejo de Gobierno de la Junta de Andalucía contra el Real Decreto-ley 8/2014, este Tribunal se ha pronunciado ya sobre la constitucionalidad de los artículos 4, 5, 6 y 7 y el anexo I del Real Decreto-ley 8/2014, homólogos de los contenidos en la Ley 18/2014, aquí recurrida. Este pronunciamiento, como expresamente vino a reconocer en su momento la Junta de Andalucía, tiene una relevancia directa en el presente supuesto, dado que la impugnación ahora formulada se refiere a los mismos preceptos y se sustenta en idénticos motivos, por lo que la doctrina contenida en dicha Sentencia resulta plenamente trasladable y permite responder a la totalidad de las impugnaciones ahora formuladas por el Consejo de Gobierno de la Junta de Andalucía, en los términos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impugnación dirigida contra los artículos 4 y 7, fue resuelta en la STC 46/2017, (FJ 2), por remisión a lo señalado en la STC 195/2016, que en sus fundamentos jurídicos 4 a 6, afirmó que estos preceptos han sido dictados en el legítimo ejercicio de la competencia básica que el Estado corresponde al amparo del artículo 149.1.13 CE, y, en consecuencia no vulneran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impugnación dirigida contra el artículo 5 y el anexo I, la STC 46/2017 (FJ 3), vino a recordar que ya la STC 214/2016 [FJ 3 b)], desestimó la impugnación formulada por el Gobierno Vasco contra estos mismos preceptos de la Ley 18/2014, de 15 de octubre, por lo que, procedía, por idénticos motivos, declarar que los mismos no vulneran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relación con el artículo 6 del Real Decreto-ley 8/2014, homólogo del precepto equivalente de la Ley 18/2014, la citada STC 46/2017, en su fundamento jurídico 4 rechazó la inconstitucionalidad del precepto, afirmando su carácter formal y materialmente básico, al amparo de la competencia atribuida al Estado en el artículo 149.1.13 CE, y descartando también el argumento contenido en la demanda, conforme al cual no existe una justificación suficiente para apelar a las normas básicas estatales, que, a su juicio, ya se encuentran en la Directiva 2006/123/CE, de 12 de diciembre, relativa a los servicios del mercado interior. Como afirmamos entonces, “la intervención del derecho comunitario europeo no altera el reparto constitucional interno de competencias en una materia y no nos corresponde verificar la corrección de la afirmación de que la normativa europea absorbe la regulación básica de un concreto ámbito material, dado que nuestro enjuiciamiento debe circunscribirse a determinar si las concretas normas impugnadas pueden considerarse o no dictadas en el legítimo ejercicio de la competencia que la Constitución atribuye al Estado (en sentido similar, STC 34/2013,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coincidencia objetiva, y de acuerdo con la doctrina constitucional (por todas, STC 172/1998, de 23 de julio, FJ 2), procede desestimar la impugnación dirigida contra los artículos 4, 5, 6, 7 y el anexo I de la Ley 18/2014, siendo suficiente para ello la remisión a los fundamentos jurídicos de la Sentencia anteriormente citada, que cabe dar por reproducidos, lo que nos exime de incluirlos, siquiera sea en extracto (STC 100/2016, de 25 de mayo,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el recurso de inconstitucionalidad núm. 292-2015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con su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mantener la coherencia con los Votos particulares que formulé a las SSTC 199/2015, de 24 de septiembre; 195/2016, de 16 de noviembre; y 46/2017, de 27 de abril, en que ya defendí que debía haber sido declaro inconstitucional y nulo el Real Decreto-ley 8/2014, de 4 de julio, en su conjunto, por vulneración del art. 86.1 CE al no concurrir la situación de extraordinaria y urgente necesidad exigible para este tipo de normas.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mayo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