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prejudicial de validez sobre normas forales fiscales 641-2017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prejudicial de validez.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febrero de 2017 tuvo entrada en este Tribunal un escrito al que se acompañaba el Auto de la Sección Primera de la Sala de lo Contencioso-Administrativo del Tribunal Superior de Justicia del País Vasco de 30 de diciembre de 2016, por el que se acordaba plantear una cuestión prejudicial sobre la validez del artículo 14.5 de la Norma Foral 12/1989, de 5 de julio, del impuesto de bienes inmuebles de Gipuzkoa, en la redacción dada por el artículo 1 de la Norma Foral 4/2012, de 4 de julio. Se adjuntaba, asimismo, testimonio de las actuaciones que han dado origen a la cuestión (recurso de apelación 648-2016 interpuesto contra la Sentencia del Juzgado de lo Contencioso-Administrativo núm. 2 de Donostia-San Sebastián de 14 de septiembre de 2015 en el procedimiento abreviado núm. 28-2014).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“Tratándose de bienes inmuebles de uso residencial que no constituyan la residencia habitual del sujeto pasivo o de terceros por arrendamiento o cesión de su uso, los ayuntamientos podrán exigir un recargo de hasta el 150 por 100 de la cuota líquida del Impuesto. Dicho recargo, que se exigirá a los sujetos pasivos de este tributo, se devengará en el mismo momento que el impuesto sobre el que se aplica y se liquidará anualmente, conjuntamente con la cuota.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efectos de la aplicación del presente recargo, se entenderá por inmuebles de uso residencial los locales que estén recogidos como de uso o destino de vivienda en el Catastro. Se incluirán los anexos a la vivienda siempre que formen una finca registral única. A los mismos efectos, se presumirá que un inmueble de uso residencial es residencia habitual cuando a fecha de devengo del impuesto, en el padrón del municipio donde radique la vivienda conste que constituye la residencia habitual de su o sus ocupantes.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los ayuntamientos podrán establecer en sus ordenanzas fiscales supuestos a los que no resulte de aplicación el recargo previsto en el presente apartado”.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resolución del Ayuntamiento de Zarautz de 23 de octubre de 2013 se desestimaron los recursos de reposición formulados por una serie de contribuyentes contra las liquidaciones del impuesto sobre bienes inmuebles (en adelante, IBI) correspondientes al ejercicio 2013, que incluían el recargo previsto en el artículo 14.5 de la Norma Foral 12/1989.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citada resolución fue objeto de un recurso contencioso-administrativo en el que se demandaba la anulación de las liquidaciones y la declaración de nulidad del apartado de la ordenanza municipal que regula el recargo aplicable a la cuota líquida del IBI para inmuebles de uso residencial que no constituyan la residencia habitual del sujeto pasivo o de un tercero, interesando la elevación de la cuestión al Tribunal Constitucional para que dilucide si es acorde con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recurso fue desestimado por la Sentencia del Juzgado de lo Contencioso-Administrativo núm. 2 de Donostia-San Sebastián de 14 de septiembre de 2015, según la cual no cabe sostener la duda de constitucionalidad basada en la contradicción con la legislación estatal, puesto que la norma controvertida se enmarca en el ámbito de regulación foral, habiéndose dictado en ejercicio de las potestades reconocidas a los territorios forales por la disposición adicional primera de la Constitución. Tampoco considera fundadas las alegaciones de los recurrentes sobre la vulneración de los principios de seguridad jurídica, capacidad de pago 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mencionada Sentencia fue objeto de un recurso de apelación en el que se interesaba que, previo planteamiento de una cuestión sobre la constitucionalidad del artículo 14.5 de la Norma Foral 12/1989, se dictara sentencia revocando la de instancia. Los recurrentes afirmaban que este precepto vulnera el artículo 31.1 CE, puesto que establece un recargo en el IBI que consideran basado en el criterio del empadronamiento, lo que introduce un agravio comparativo entre residentes y no residentes. Añaden que dicha norma crea realmente un impuesto nuevo que contradice lo previsto en el texto refundido de la Ley reguladora de las haciendas locales (Real Decreto Legislativo 2/2004, de 5 de marzo), pues el recargo que permite establecer a los ayuntamientos es tres veces mayor que el recogido en la norma estatal (artículo 72.4 del citado Real Decreto Legislativo 2/2004) que, además, —afirman— todavía no ha entrado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Una vez declarado concluso el procedimiento, mediante providencia de 13 de octubre de 2016, se acordó oír a las partes y al Ministerio Fiscal sobre la conveniencia de plantear una cuestión prejudicial acerca del artículo 14.5 de la Norma Foral 12/1989, en relación con los principios de seguridad jurídica y reserva de ley en materia tributaria (arts. 9.3 y 133.1 y 2 CE), así como de capacidad de pago e igualdad en la imposición de los tributos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presentó un escrito el 25 de octubre de 2016 en el que consideraba pertinente el planteamiento de la cuestión prejudicial, sin perjuicio del informe que pudiera emitirse en su día por la Fiscalía General del Estado. Tras formular los juicios de aplicabilidad y relevancia, que consideraba cumplidos, concluía que la norma plantea dudas con relación a los principios de seguridad jurídica, reserva de ley, capacidad de pago e igualdad en la imposición de tributos.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escrito de 2 de noviembre de 2016 el Ayuntamiento de Zarautz se opuso al planteamiento de la cuestión prejudicial, alegando que: i) el único interés de la parte apelante es que se plantee la cuestión; ii) en todo caso, debe oírse a las Juntas Generales de Gipuzkoa, como institución responsable de la norma controvertida; iii) no hay vulneración de los principios de seguridad jurídica y reserva de ley, pues no existe contradicción entre el artículo 14.5 de la Norma Foral 12/1989 y el del Real Decreto Legislativo 2/2004, negando, asimismo, que el empadronamiento opere como una presunción iuris et de iure, puesto que es factible desvirtuarla; y iv) tampoco se infringen los principios de capacidad de pago e igualdad en la imposición de tributos, ya que con el recargo debatido no se introduce ninguna discriminación que sea contraria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último, los recurrentes presentaron sus alegaciones el 3 de noviembre de 2016 en las que, remitiéndose a lo razonado en el recurso de apelación, instaban el planteamiento de la cuestión sobre el artículo 14.5 de la Norma Foral 12/1989, por entender que el fallo que debía pronunciarse depende de la validez de dicha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empieza descartando la alegación del Ayuntamiento de Zarautz según la cual los recurrentes solo pretenden el planteamiento de la cuestión prejudicial, puesto que los actos administrativos impugnados se han dictado en aplicación de una ordenanza que reproduce el contenido del artículo 14.5 de la Norma Foral 12/1989, por lo que el interés de la apelante va más allá de dicho planteamiento, resultando que esta norma es aplicable al caso y determinante del fallo, de forma que se superan los juicios de aplicabilidad y relevancia. Añade, en cuanto a la necesidad de escuchar a las Juntas Generales de Gipuzkoa, que dicho trámite se sustanciará en el proceso constitucional, conforme prevé la disposición adicional quinta de la Ley Orgánica 2/1979, de 3 de octubre,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continuación, expone el marco normativo aplicable e indica que una previsión similar al controvertido artículo 14.5 de la Norma Foral 12/1989 ha sido aprobada en los territorios históricos de Bizkaia y Álava/Araba, aunque con diferencias en cuanto al importe máximo del recargo que se permite establecer a los ayuntamientos. Asimismo, encuadra el recargo en el precedente del artículo 72.4 del Real Decreto Legislativo 2/2004, destacando que, a pesar del tiempo transcurrido desde su aprobación, todavía no ha sido aplicado, por no haberse desarrollado reglamentariamente el concepto de “inmuebles de uso residencial que se encuentren desocupados con carácter permanente”. Aclara que diversas sentencias de los tribunales han despejado cualquier duda sobre la competencia para efectuar tal desarrollo, que en el territorio común corresponde al Estado. Y pone de manifiesto varias diferencias entre ambas disposiciones como son: i) la norma foral no requiere un ulterior desarrollo reglamentario, a diferencia del artículo 72.4 del Real Decreto Legislativo 2/2004; ii) la norma estatal toma como elemento objetivo que el inmueble residencial “se encuentre desocupado con carácter permanente”, en tanto que la norma foral amplía el recargo a todos los inmuebles residenciales “que no constituyan la residencia habitual del propietario o de terceros por arrendamiento o cesión de uso”, lo que se presume a partir del empadronamiento; y iii) por último, la cuantía del recargo cambia, siendo de hasta el 150 por 100 en la de la Norma Foral 12/1989 y de un máximo del 50 por 100 en el artículo 72.4 del Real Decreto Legislativo 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vista de lo anterior, explica las dudas de constitucionalidad que se le suscitan, comenzando por los principios de seguridad jurídica y reserva de ley en materia tributaria (arts. 9.3 y 133.1 y 2 CE). En primer término, desestima el argumento de los apelantes de que el artículo 14.5 de la Norma Foral 12/1989 contradice el artículo 72.4 del Real Decreto Legislativo 2/2004, pues ambas normas tienen distintos ámbitos competenciales y los territorios históricos pueden regular el sistema tributario local, de acuerdo con lo previsto en el concierto económico, en particular, su artículo 39, referido al IBI. Aclarado lo cual, la Sala afirma que el recargo discutido es una obligación tributaria accesoria de la obligación principal de satisfacer la cuota del IBI y que su delimitación también queda sujeta a la reserva de ley. El problema radica, a su juicio, en que el artículo 14.5 de la Norma Foral 12/1989 no define el hecho generador del recargo, es decir, el uso residencial no habitual, sino que “dispone el medio de prueba de ese hecho por remisión al Padrón del municipio atribuyendo, además, a ese censo un valor de prueba que excede el alcance de la presunción establecida en el artículo 53.1 del Real Decreto 1690/1986, de 11 de julio, por el que se aprueba el Reglamento de Población y Demarcación Territorial de las Entidades Locales”. Así, considera que el recargo se asienta en un concepto, el uso residencial habitual, que la norma no define con la suficiente certeza, sino que “lo suplanta o diluye en el valor, simplemente instrumental o de prueba, de la inscripción en el Padrón del municipio”. De esta forma, mientras que el dueño del inmueble residencial en el que aparezcan empadronados él mismo o terceros gozará del favor de la presunción de residencia, el dueño de un inmueble en el que no estén empadronados ni él ni terceros “se enfrentará en vano a la prueba del mismo hecho por los medios ordinarios, pues no sabrá con certeza a qué atenerse”. Según la Sala, esta indeterminación no puede subsanarse por remisión al concepto de residencia habitual previsto en el concierto económico, ni al de la normativa del IRPF, ni tampoco al concepto civil de domicilio. Tras lo cual el órgano judicial se pregunta “hasta qué punto puede la prestación accesoria (el recargo) exceder de la principal”, de manera que podríamos hallarnos —añade— frente a un impuesto nuevo que grava las viviendas que no constituyen la residencia habitual del sujeto pasivo o de terceros, lo que podría ser contrario a los artículos 9.3 y 133.1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Desde la perspectiva del artículo 31.1 CE las dudas del órgano judicial parten de que el recargo, a pesar de su finalidad extrafiscal, que no pone en duda, debería recaer sobre alguna fuente de capacidad económica. Y si bien está claro cuál es esta fuente en el IBI, resulta que el recargo está gravando la falta de ocupación del inmueble, el que este no constituya residencia habitual, y el Tribunal tiene dudas de que una única circunstancia, cual es la relativa al lugar del empadronamiento, sea determinante de una mayor capacidad económica. Le llama la atención, además, la desproporción del recargo, lo que puede afectar al principio de igualdad tributaria, poniendo en tela de juicio que la diferencia de trato entre dos titulares de inmuebles por el hecho de la residencia habitual respete dicho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concluye afirmando que “en el caso que nos ocupa resulta dudosa la constitucionalidad del recargo que impone la Norma Foral toda vez que, llegando a poder suponer hasta un 150 por 100 de la cuota líquida del Impuesto, no obedece a una fuente de capacidad económica cualitativamente distinta de aquella sobre la que recae el Impuesto y, además, lo hace en atención a un criterio exclusivo, el del empadronamiento (ajeno a aquellos que sirven para la fijación de la base imponible), que determina un tratamiento sustancialmente distinto entre quienes se encuentran en una situación comparable prescindiendo de la introducción de elementos correctores o que contribuyan a una mejor justificación de tal tratamiento diferenciado”.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expuesto, de acuerdo con los artículos 35 y 36 LOTC, la Sala de lo Contencioso-Administrativo del Tribunal Superior de Justicia del País Vasco acuerda plantear una cuestión prejudicial de validez respecto del artículo 14.5 de la Norma Foral 12/1989, por posible infracción de los principios de seguridad jurídica y reserva de ley en materia tributaria (arts. 9.3 y 133.1 y 2 CE), así como de capacidad de pago e igualdad en la imposición de tributos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de 2017 la Sección Cuarta acordó, a los efectos que determina el artículo 37.1 LOTC, oír al Fiscal General del Estado para que, en el plazo de diez días, alegara lo que considerara conveniente acerca de la admisibilidad de la presente cuestión prejudicial,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30 de mayo de 2017 interesando la inadmisión de la cuestión por resultar notoriamente infundada,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manifestar que se cumplen los presupuestos procesales exigibles, analiza la primera objeción planteada por el órgano judicial, referida a los principios de seguridad jurídica y reserva de ley en materia tributaria (arts. 9.3 y 133.1 y 2 CE). A este respecto, considera que la norma cuestionada sí contiene los elementos esenciales requeridos para garantizar la reserva de ley, pues define el hecho imponible que genera la obligación del recargo, la base imponible, el tipo de gravamen, el sujeto pasivo y el devengo. Tras recordar que el principio de reserva de ley en materia tributaria tiene mayor flexibilidad que en el ámbito sancionador, con cita de la STC 121/2005, FJ 5, afirma que las dudas que expone el Auto son realmente de interpretación del alcance que debe darse al concepto de residencia habitual, lo que no puede convertirse —añade— en el objeto de la cuestión, como recuerda la STC 40/2014, FJ 2. A su juicio, la falta de desarrollo en la norma del término “residencia habitual” no impide a los órganos judiciales que conozcan de los recursos contra los actos de aplicación del recargo precisar el alcance de dicho concepto, para lo que pueden utilizar los criterios generales de interpretación, especialmente, la finalidad del precepto. Además, el Tribunal promotor no expresa por qué, si considera que el hecho del empadronamiento es una presunción iuris tantum, como se desprende al artículo 104.1 de la Norma Foral General Tributaria de Gipuzkoa, no pueden emplearse otros medios para acreditar la residencia habitual, con el alcance que corresponda, ya que el órgano judicial no está vinculado por la interpretación mantenida por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los principios de capacidad de pago e igualdad en la imposición de tributos (art. 31.1 CE), el Fiscal General del Estado entiende que la titularidad de una vivienda con y sin empadronamiento no constituyen términos homogéneos de comparación, a efectos del juicio de igualdad. Destaca que la propia Sala reconoce que un inmueble que no es residencia habitual del titular ni de terceros es indicativo de una especial capacidad económica, lo que se refuerza —continúa afirmando— a la vista de que el recargo enjuiciado presenta una finalidad extrafiscal, dirigida a promocionar el acceso a la vivienda, lo que debe tenerse en cuenta a la hora de enjuiciar su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escrito de alegaciones afirmando que la cuestión planteada carece de solidez en la fundamentación de las dudas de constitucionalidad, por lo que interesa que, teniendo por cumplimentado el traslado conferido en virtud del artículo 37.1 LOTC, se dicte auto inadmitiéndola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una cuestión prejudicial de validez respecto del artículo 14.5 de la Norma Foral 12/1989, de 5 de julio, del impuesto de bienes inmuebles de Gipuzkoa, en la redacción dada por el artículo 1 de la Norma Foral 4/2012, de 4 de julio, cuyo tenor literal se ha reproducido en los antecedentes. En relación con esta misma norma se han planteado también las cuestiones núms. 639-2017 y 640-2017, siendo la única diferencia entre las tres el periodo impositivo al que se refieren las liquidaciones tributarias que dan origen al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se opone, por las razones expuestas en los antecedentes, a la admisión a trámite de la cuestión, por estimarla notoriamente infundada, con arreglo al artículo 37.1 de la Ley Orgánica 2/1979, de 3 de octubre, del Tribunal Constitucional (LOTC, en adelante), de acuerdo con el cual, el Tribunal puede rechazar en trámite de admisión mediante Auto, sin otra audiencia que la del Fiscal General del Estado, la cuestión de inconstitucionalidad cuando fuera notoriamente infundada; precepto que resulta aplicable a las cuestiones prejudiciales de validez sobre normas forales fiscales de los territorios históricos, por remisión expresa de la disposición adicional quinta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el concepto de cuestión “notoriamente infundada” del artículo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AATC 145/2016, de 19 de julio, FJ 3, y 42/2017, de 28 de febrero, FJ 3). Pues bien, como se razonará a continuación, en el presente caso las dudas de constitucionalidad planteadas resultan manifiestamente infundadas. De ahí que, como solicita el Fiscal General del Estado, la cuestión deba inadmitirse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norma cuestionada se enmarca en el concierto económico con la Comunidad Autónoma del País Vasco (Ley 12/2002, de 23 de mayo), aprobado al amparo de la disposición adicional primera de la Constitución y del artículo 41.1 de la Ley Orgánica 3/1979, de 18 de diciembre, por la que se aprueba el Estatuto de Autonomía para el País Vasco (EAPV). El artículo 39 del concierto prevé que “[e]l Impuesto sobre Bienes Inmuebles se regulará por las normas que dicten las instituciones competentes de los territorios históricos y gravará los bienes de naturaleza rústica y urbana sitos en su respectivo Territorio Histórico”. Así pues, en los territorios históricos del País Vasco el impuesto sobre bienes inmuebles (IBI) se regula por las normas forales que aprueben las instituciones competentes, con sujeción a la Constitución y a los principios generales y reglas de armonización y colaboración contenidas en el concierto (artículos 2, 3 y 4). No hay que olvidar que las normas forales fiscales son “un tipo singular de normas reglamentarias, … fruto de un poder tributario derivado, cuyo ejercicio, como sucede también con el que corresponde en materia tributaria a las Comunidades Autónomas y a las entidades locales, no sólo queda condicionado por la Constitución, sino también por las normas que dicte el Estado en la materia” [STC 118/2016, de 23 de junio, FJ 2 b)]. En efecto, aun cuando la Constitución autoriza a los territorios históricos a establecer y regular su propio régimen tributario, han de hacerlo tanto en el marco de la Constitución y del Estatuto de Autonomía, como de acuerdo con las previsiones del concierto económico (art. 41.1 EAPV) y de las leyes del Estado en materia tributaria [art. 41.2 a) y c) EAPV], las cuales no son “meramente habilitadoras para el ejercicio de una potestad tributaria que originariamente solo corresponde al Estado”, sino también “leyes ordenadoras” de los tributos que integran aquel régimen tributario propio, “porque la Constitución encomienda aquí al legislador no solo el reconocer un ámbito de autonomía al ente territorial, sino también garantizar la reserva legal que ella misma establece (art. 31.3)” [STC 118/2016, de 23 de junio,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artículo 72.4, párrafos tercero y cuarto, del Real Decreto Legislativo 2/2004 habilita a los ayuntamientos a exigir un recargo sobre los inmuebles de uso residencial que se encuentren desocupados con carácter permanente “por cumplir las condiciones que se determinen reglamentariamente”. Al amparo de esta ordenación legal, el artículo 14.5 de la Norma Foral 12/1989, de 5 de julio, del impuesto sobre bienes inmuebles de Gipuzkoa, según redacción dada por la Norma Foral 4/2012, de 4 de julio, que se ha transcrito en los antecedentes, establece la posibilidad de que los ayuntamientos apliquen un recargo en la cuota líquida del IBI, conforme a las siguientes reglas: i) recaerá sobre los “inmuebles de uso residencial que no constituyan la residencia habitual del sujeto pasivo o de terceros por arrendamiento o cesión de su uso”; ii) el sujeto pasivo será el mismo que el del IBI; iii) la cuantía del recargo será de hasta el 150 por 100 de la cuota líquida del citado impuesto; y iv) su devengo coincidirá con el del IBI, liquidándose anualmente, conjuntamente con la cuota de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la norma guipuzcoana especifica que “[a] efectos de la aplicación del presente recargo, se entenderá por inmuebles de uso residencial los locales que estén recogidos como de uso o destino de vivienda en el Catastro”, aclarando que “se presumirá que un inmueble de uso residencial es residencia habitual cuando a fecha de devengo del impuesto, en el padrón del municipio donde radique la vivienda conste que constituye la residencia habitual de su o sus ocupantes”. A lo que añade que “los ayuntamientos podrán establecer en sus ordenanzas fiscales supuestos a los que no resulte de aplicación el recargo previsto en el presente apartado”.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adelantado, la redacción del precepto cuestionado proviene de la Norma Foral 4/2012, de 4 de julio, en cuyo preámbulo se justificaba la modificación del recargo por la situación de crisis económica y la necesidad de ingresos, destacando que la finalidad de la nueva redacción es “regular la aplicación del recargo de viviendas vacías contemplado en el apartado 5 del artículo 14 desde una vertiente distinta, cual es la de aplicar el citado recargo no sobre el concepto de vivienda vacía, sino sobre el concepto de vivienda que no constituye residencia habitual de un residente en el municipio donde se ubica. De esta manera se supera el difícil problema de la determinación del concepto de vivienda vacía que, remitido a desarrollo reglamentario, no ha visto la luz por su difícil concepción técnica”.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en la redacción previa a su modificación por la Norma Foral 4/2012 el recargo recaía sobre los “inmuebles de uso residencial que se encuentren desocupados con carácter permanente, por cumplir las condiciones que se determinen reglamentariamente”, sin que, mientras tuvo esta redacción, llegara a aplicarse, por no haberse dictado en el territorio histórico de Gipuzkoa norma alguna de desarrollo, al igual que ha sucedido con el recargo previsto en el artículo 72.4 del Real Decreto Legislativo 2/2004 que, aún hoy, gira en torno al inmueble de uso residencial “que se encuentre desocupado con carácter permanente, por cumplir las condiciones que se determinen reglamentariamente”, lo que, en ausencia del citado desarrollo, ha impedido su puesta en práctica.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la ordenanza fiscal núm. 1 del Ayuntamiento de Zarautz, reguladora del IBI, reproduce en su apartado III el artículo 14.5 de la Norma Foral 12/1989, concretando el porcentaje del recargo dentro del máximo previsto, para fijarlo en un 100 por 100 para el año 2013 y en un 150 por 100 para 2014 y 2015; además, en uso de la habilitación contenida en el párrafo tercero del artículo 14.5 de la Norma Foral 12/1989 establece determinadas exenciones al recargo (entre otras, declara exentas las viviendas afectas a actividades dadas de alta en la matrícula del impuesto sobre actividades económicas; aquellas cuya titularidad corresponda a personas empadronadas en residencias de la tercera edad; las que formen parte de una herencia, durante el periodo de dos años a contar desde el fallecimiento; las ubicadas en edificios declarados en ruina; y las que acrediten un consumo mínimo de energía).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órgano promotor de la cuestión alberga dos dudas fundamentales sobre la constitucionalidad del artículo 14.5 de la Norma Foral 12/1989. La primera le lleva a preguntarse si los principios de seguridad jurídica (art. 9.3 CE) y reserva de ley tributaria (arts. 31.3 y 133.1 y 2 CE) no resultan infringidos al carecer la norma de una definición de “residencia habitual”, lo que impide al contribuyente saber qué debe probar para demostrar que no se produce el hecho imponible del recargo. Según la Sala, la norma solo establece el medio de prueba de la “residencia habitual” mediante el empadronamiento, al que atribuye un valor que excede del que le reconoce el Reglamento de población y demarcación territorial de las entidades locales (Real Decreto 1690/1986,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hemos adelantado en el fundamento anterior, la norma cuestionada debe incardinarse en el ámbito de competencias tributarias de los territorios históricos del País Vasco, en particular, para la regulación de los tributos locales. Y, como hemos destacado en la reciente STC 118/2016, de 23 de junio, FJ 2 b), las normas forales fiscales que emanan de las juntas generales de los territorios históricos “tienen como función constitucional la de configurar, de forma armonizada, un régimen tributario foral que sustituye y replica, en cada uno de esos territorios, la estructura del sistema tributario del Estado” por lo que “han venido sustituyendo en los territorios históricos a las disposiciones legislativas del Estado en materia tributaria, fruto de la garantía de la foralidad que el texto constitucional consagra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Desde la perspectiva del principio de reserva de ley, en orden a valorar si el artículo 14.5 de la Norma Foral 12/1989 respeta los artículos 31.3 y 133.1 y 2 CE, debemos partir de que, como hemos concluido en el fundamento jurídico segundo, la relación entre la norma foral reguladora del IBI (y de resto de tributos locales) y las ordenanzas fiscales es análoga a la que estas mantienen con el Real Decreto Legislativo 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general, hemos señalado que la reserva de ley tributaria es relativa o, lo que es lo mismo, limitada a la creación ex novo del tributo y a la determinación de los elementos esenciales o configuradores del mismo (entre otras muchas, SSTC 37/1981, de 16 de noviembre, FJ 4, y 150/2003, de 15 de junio, FJ 3). Por ello, dicha reserva de ley admite la colaboración del reglamento, siempre que sea indispensable por motivos técnicos o para optimizar el cumplimiento de las finalidades propuestas por la Constitución o por la propia Ley y siempre que se produzca en términos de subordinación, desarrollo y complementariedad [entre otras, SSTC 19/1987, de 17 de febrero, FJ 6 c), y 102/2005, de 20 de abril,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cuando se trata de la regulación de los tributos locales, la reserva de ley “ve confirmada su parcialidad, esto es, la restricción de su ámbito” [SSTC 19/1987, de 17 de febrero, FJ 4, y 233/1999, de 16 de diciembre, FJ 10 b)], pues la reserva de ley prevista en el artículo 31.3 CE no puede entenderse desligada “de las condiciones propias del sistema de autonomías territoriales que la Constitución consagra (art. 137) y específicamente de la garantía constitucional de la autonomía de los municipios (art. 140)”, tanto más cuando el artículo 133.2 CE establece la posibilidad “de que las Comunidades Autónomas y las corporaciones locales establezcan y exijan tributos, de acuerdo con la Constitución y las leyes”, procurando así la Constitución “integrar las exigencias diversas en este campo, de la reserva de Ley estatal y de la autonomía territorial, autonomía que, en lo que a las corporaciones locales se refiere, posee también una proyección en el terreno tributario, pues estas habrán de contar con tributos propios y sobre los mismos deberá la Ley reconocerles una intervención en su establecimiento o en su exigencia, según previenen los artículos 140 y 133.2 de la misma Norma fundamental” [STC 233/1999, de 16 de diciembre, FJ 10 b)]. Por tanto, “el ámbito de colaboración normativa de los municipios, en relación con los tributos locales, [es] mayor que el que podría relegarse a la normativa reglamentaria estatal”, por dos razones: porque “las ordenanzas municipales se aprueban por un órgano —el Pleno del Ayuntamiento— de carácter representativo (art. 22.2.d LBRL)”; y porque “la garantía local de la autonomía local (arts. 137 y 140 CE) impide que la ley contenga una regulación agotadora de una materia —como los tributos locales— donde está claramente presente el interés local” (STC 132/2001, de 8 de junio,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principio de seguridad jurídica, en la STC 150/1990, FJ 8, ya precisamos que no se infringe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artículo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Sólo si, en el contexto ordinamental en que se inserta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la vista de la doctrina expuesta, la duda del órgano judicial sobre si el artículo 14.5 de la Norma Foral 12/1989 vulnera los principios de reserva de ley tributaria y seguridad jurídica no puede compartirse. En primer lugar, hemos de tener presente que el concepto de “residencia habitual” se utiliza con frecuencia en la regulación de los diversos tributos, tanto en el territorio común como en el foral (a título de ejemplo, en el artículo 3 de la Norma Foral 2/2014, de 17 de enero, del impuesto sobre la renta de las personas físicas del territorio histórico de Gipuzkoa), así como en las normas delimitadoras de competencias, como es el caso, en lo que aquí interesa, del concierto económico (artículo 43). El órgano promotor de la cuestión prejudicial descarta acudir a ninguna de las definiciones de “residencia habitual” que se contienen en las normas señaladas, pero sin fundamentar esta posición, cuando lo cierto es que —como pone de manifiesto el Fiscal General del Estado— tales definiciones existen y están a disposición del intérprete de la norma debatida.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según hemos recordado recientemente en la STC 215/2016, de 15 de diciembre, FJ 14, “la Constitución no veda el uso de conceptos jurídicos indeterminados”, máxime si dichos conceptos aparecen concretados en otras normas del propio ordenamiento tributario. Y en este sentido, el artículo 11.2 de la Norma Foral 2/2005, de 8 de marzo, general tributaria, del territorio histórico de Gipuzkoa, dispone que “[e]n tanto no se definan por la normativa tributaria, los términos empleados en sus normas se entenderán conforme a su sentido jurídico, técnico o usual, según proceda”, de tal suerte que el respeto a los principios de reserva de ley y seguridad jurídica no exige a cada norma tributaria detallar exhaustivamente todos los conceptos que utiliza, cuando es posible interpretarlos a la luz de otras disposiciones normativas o bien siguiendo su sentido “técnico o usual”.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corresponderá a los Tribunales de la jurisdicción contencioso-administrativa determinar qué ha de entenderse por “residencia habitual” a efectos del recargo sobre el IBI foral, para lo cual tanto la norma analizada como el ordenamiento en que se inserta ofrecen los elementos interpretativos suficientes. La de la Norma Foral 12/1989 aporta una precisión adicional, al señalar que el empadronamiento jugará como presunción de residencia habitual, acotando así el ámbito de indeterminación, de forma coherente con lo dispuesto en el artículo 53.1 del Real Decreto 1690/1986, de 11 de julio, por el que se aprueba el Reglamento de población y demarcación territorial de las entidades locales, cuando afirma que “[e]l padrón municipal es el registro administrativo donde constan los vecinos de un municipio. Sus datos constituyen prueba de la residencia en el municipio y del domicilio habitual en el mismo”. La referencia al padrón municipal como medio de prueba para acreditar el concepto de “residencia habitual” viene, pues, predeterminada normativamente y, en consecuencia, no constituye, en sede de interpretación de la legalidad ordinaria, un concepto jurídico tan indeterminado como pretende poner de manifiesto el órgano judicial que plantea la cuestión. Además, debe puntualizarse que la norma foral enjuiciada se limita a configurar, con valor de presunción iuris tantum, un medio de prueba para acreditar el concepto de “residencia habitual” como presupuesto de hecho que excluye la aplicación del recargo, pero no impide que éste pueda resultar probado por otros medios reconocidos en Derecho. En efecto, lo determinante en este caso es que dicha norma, además de expresar un modo de acreditar la residencia habitual del uso residencial que se haga de un inmueble sito en el término municipal correspondiente a través de una presunción, no limita la posibilidad de que el sujeto pasivo del impuesto pruebe su residencia habitual de otra manera distinta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 partir de la doctrina constitucional aplicable, el artículo 14.5 de la Norma Foral 12/1989 precisa de forma suficiente el supuesto de hecho del recargo mediante una norma del rango adecuado, por lo que ninguna tacha cabe formularle desde la vertiente de los principios de reserva de ley tributaria (arts. 31.3 y 133.1 y 2 CE) y seguridad jurídica (art. 9.3 CE), de tal suerte que la duda referida a estos preceptos resulta “notoriamente infundada”, en los términos en que tal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segunda duda, que atañe a los principios de capacidad económica e igualdad tributaria, recogidos en el artículo 31.1 CE, lleva al órgano judicial a cuestionar que la exacción de un recargo sobre el IBI, aunque tenga una finalidad extrafiscal (como acepta que es el caso), pueda basarse en que el inmueble gravado no sea la residencia habitual del sujeto pasivo o de un tercero. El Auto discute que esta circunstancia determine una mayor capacidad económica, lo que también puede suponer —sostiene— una vulneración de la igualdad tributaria, al establecer un gravamen diverso sobre índices de capacidad económica idénticos, sin una justificación objetiva y razonable. Considera que se introduce una diferencia de trato ante una situación homogénea, como es la titularidad de un inmueble, por el hecho de no tener residencia habitual en él, lo que puede obedecer a múltiples causas que no tienen por qué revelar una mayor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principio de capacidad económica, tampoco puede compartirse la duda planteada por el órgano judicial, a la luz de la doctrina constitucional sobre este principio. A este respecto, cabe recordar que la STC 37/1987, de 26 de marzo, FJ 13, resolviendo el recurso de inconstitucionalidad interpuesto contra el impuesto andaluz sobre tierras infrautilizadas, de carácter extrafiscal, al igual que el recargo que aquí estudiamos, afirmó que “no lesiona el principio de capacidad económica sólo porque recaiga sobre la utilización insuficiente o la obtención de rendimientos inferiores al óptimo legalmente señalado para las fincas rústicas, pues este hecho de significado social y económicamente negativo —que el legislador andaluz pretende combatir o corregir, entre otras medidas, a través del instrumento fiscal— es por sí mismo revelador de la titularidad de una riqueza real o potencial”.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puede citarse la STC 295/2006, de 11 de octubre, FJ 6, referida a la imputación de rentas inmobiliarias en el impuesto sobre la renta de las personas físicas, en la que, con remisión a la STC 37/1987, señalamos que “los rendimientos de los inmuebles urbanos que contempla el precepto cuestionado integran la manifestación de una capacidad económica que, si bien no deriva de una renta real —no hay un ingreso efectivamente producido—, sí conecta con una renta potencial: cabe razonablemente entender que, en la medida en que tales inmuebles son susceptibles de generar un rendimiento al que ‘renuncia’ su titular —el que podría obtenerse mediante su arrendamiento— estamos ante una ‘renta potencial’ susceptible de ser sometida a imposición por el impuesto sobre la renta de las personas físicas, de la misma manera que —en relación con el impuesto andaluz de tierras infrautilizadas— hemos afirmado que la renuncia a obtener el rendimiento óptimo legalmente señalado para las fincas rústicas ‘es por sí mismo revelador de la titularidad de una riqueza real o potencial’ (STC 37/1987, de 26 de marzo, FJ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que antecede, este Tribunal ya tiene sentado que la no utilización de un bien o su uso no habitual pone de manifiesto una riqueza real o potencial cuyo gravamen, en lo que aquí interesa a través de un recargo en el IBI del territorio histórico de Gipuzkoa, es coherente con el principio de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análisis desde la perspectiva del principio de igualdad conduce a la misma conclusión anterior, toda vez que, como hemos señalado reiteradamente (por todas, STC 167/2016, de 6 de octubre, FJ 5), el principio de igualdad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Así, el primer paso del denominado “juicio de igualdad” es el “juicio de comparabilidad”, que llevaría a examinar si quien destina una vivienda a residencia habitual (propia o de un tercero a quien se la ceda, por arrendamiento u otro título) y quien no lo hace se configuran como términos homogéneos de comparación. La respuesta ha de ser claramente negativa, toda vez que ambos se encuentran en circunstancias diferentes en cuanto al grado o tipo de utilización de la vivienda, que es un aspecto relevante de cara a determinar su contribución a los gastos públicos mediante un tributo que grava la titularidad del inmueble, como ponen de manifiesto los pronunciamientos citados anteriormente. Por tanto, al no hallarnos ante situaciones comparables, no puede reputarse lesionado 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similitud con el caso que analizamos conviene, asimismo, mencionar el ATC 123/2009, de 28 de abril, en el que se abordaba la cuestión de inconstitucionalidad núm. 4351-2008 planteada sobre el artículo 72.4 del Real Decreto Legislativo 2/2004, por posible infracción de los artículos 9.3, 14, 31.1 y 133 CE, que son también los invocados por la Sala de lo Contencioso-Administrativo del Tribunal Superior de Justicia del País Vasco. Se examinaba en tal ocasión si la habilitación contenida en el artículo 72.4 del Real Decreto Legislativo 2/2004 para que los ayuntamientos, mediante ordenanza fiscal, estableciesen unos tipos de gravamen diferenciados en el IBI en función de los diferentes usos previstos por la normativa catastral para determinados bienes inmuebles, vulneraba la Constitución. Pues bien, en dicho Auto afirmamos que en el caso de inmuebles destinados a diferentes usos según la normativa catastral “no se cumple el requisito de que se trate de dos situaciones comparables” (FJ 4), añadiendo que “la Constitución otorga una especial protección a la vivienda (artículo 47), ordenando a los poderes públicos la adopción de las medidas necesarias encaminadas a tal fin, razón por la cual ningún óbice existe desde un punto de vista constitucional para que se otorgue un trato más favorable a un bien inmueble de uso residencial, circunstancia ésta que ya sería suficiente por sí sola para legitimar la disparidad de trato” (FJ 5). A pesar de que en tal caso la diferencia de trato se establecía entre inmuebles residenciales y no residenciales, distinción que reputábamos legítima desde el punto de vista del artículo 31.1 CE, la misma ratio nos lleva a aceptar ahora la posibilidad de que, dentro de los inmuebles residenciales, se diferencie entre los que constituyen residencia habitual y los que no, aplicando un mayor gravamen en el IBI a los segundos, como hace el artículo 14.5 de la Norma Foral 12/1989.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terminar, cabe citar el ATC 417/2005, de 22 de noviembre, que resolvía la cuestión de inconstitucionalidad núm. 2346-2005, planteada en relación con la Ley de la Asamblea de Extremadura 9/1998, de 26 de junio, del impuesto sobre suelo sin edificar y edificaciones ruinosas. Si bien la infracción constitucional que allí se estudiaba era la del artículo 6.3 de la Ley Orgánica de financiación de las Comunidades Autónomas, el tema enjuiciado era la aplicación de una distinta carga tributaria, por motivos extrafiscales, en función del uso (o falta de uso) de un bien inmueble, caso análogo al que se plantea aquí. Y en dicho Auto recalcamos, a partir de la doctrina de la STC 37/1987, que el tributo enjuiciado era una “medida extrafiscal que se adopta por la Comunidad Autónoma para la eficaz salvaguardia de la función social de la propiedad (art. 33.2 CE), en cumplimiento de la obligación de todos los poderes públicos de velar por la ‘utilización racional de todos los recursos naturales’ (art. 45.2 CE) y del mandato de que todos los españoles tengan derecho al disfrute de una vivienda digna y adecuada (art. 47 CE), para lo cual los poderes públicos han de establecer las condiciones y normas oportunas para hacer real y operativo ese derecho … [cuya] única y exclusiva finalidad es la de conseguir determinadas conductas de los ciudadanos, estimulando la construcción en los solares o la rehabilitación de edificaciones declaradas en ruina” (FJ 6). Y de la misma forma que en tal caso estimamos legítimo desincentivar fiscalmente el que no se diera a los solares un determinado uso, a igual conclusión se ha de llegar en el presente supuesto para las viviendas que no son residencia habitual del sujeto pasivo o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con base en la doctrina sentada en los antecedentes expuestos, podemos ya concluir que el recargo en el IBI para viviendas que no constituyen la residencia habitual del sujeto pasivo o de un tercero, regulado en el artículo 14.5 de la Norma Foral 12/1989, tampoco es contrario a los principios de capacidad económica e igualdad del artículo 31.1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prejudicial de validez.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