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8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8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octubre de 2016, el Procurador de los Tribunales don Guzmán de la Villa de la Serna, en nombre y representación de don Ilias I. Traber, asistido del Abogado don Jesús María Silva Sánchez, interpuso recurso de amparo contra el Auto de la Sección Cuarta de la Sala de lo Penal de la Audiencia Nacional de 12 de septiembre de 2016, que desestima el recurso de apelación interpuesto contra el Auto de 30 de marzo de 2016 del Juzgado Central de Instrucción núm. 5, por el que se inadmite la personación del Sr. Traber en las diligencias previas núm. 321-2006, así como el recurso de reforma interpuesto contra el Auto del mismo Juzgado de 22 de enero de 2016, por el que se ordena la búsqueda internacional y detención de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de conformidad con el artículo 56.2 de la Ley Orgánica del Tribunal Constitucional, la inmediata suspensión de la ejecución de la orden de detención que pesa sobre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acordó la admisión a trámite de la demanda de amparo mediante providencia de 18 de septiembre de 2017. Asimismo, por providencia de la misma fecha, se procedió a formar la correspondiente pieza separada de suspensión, concediendo un plazo común de tres días al recurrente y al Ministerio Fiscal para que alegasen lo que estimasen pertin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resentó sus alegaciones por escrito registrado en este Tribunal el 26 de septiembre de 2017; tras recordar los antecedentes del asunto, interesa que no se acceda a la solicitud de suspensión de la ejecución de la orden de detención que pesa sobre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que solicita el recurrente se refiere a una resolución: la orden de detención, que no ha sido enjuiciada en el proceso a quo y que no va a ser objeto de examen en el recurso de amparo que se dirige contra sendas resoluciones que han denegado la personación de aquel en unas diligencias penales. Se trata pues de una pretensión de suspensión carente de argumentación y ajena al proceso constitucion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por escrito registrado en este Tribunal el 27 de septiembre de 2017, presentó alegaciones reiterando su solicitud de suspensión de la ejecución de la orden de detención en tanto se resuelve el presente recurso de amparo, que interesa sea acordada de manera ur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que, de no accederse a la suspensión interesada, el amparo —dada la duración ordinaria de su tramitación— perdería su finalidad, porque la práctica de la detención tendría efectos irreparables, sin que, por el contrario, la suspensión pueda deparar perjuicio alguno para los intereses generales o de los derecho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de la Ley Orgánica del Tribunal Constitucional (LOTC), la interposición del recurso de amparo no suspenderá los efectos del acto o sentencia impugnados. No obstante, la Sala (o la Sección, en su caso) que conozca de un recurso de amparo podrá acordar la suspensión de la ejecución del acto de los poderes públicos por razón del cual se reclame el amparo cuando dicha ejecución, caso de llevarse a cabo, “produzca un perjuicio que haría perder al amparo su finalidad”, siempre y cuando la suspensión no ocasione “perturbación grave a un interés constitucionalmente protegido, ni a los derechos fundamentales o libertades públicas de otra persona”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como ocurre en el presente caso),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16/2001, de 17 de julio, FJ 1; 199/2007, de 27 de marzo; FJ 1; 117/2015, de 6 de julio, FJ 3, y 3/2016, de 18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ATC 81/2012, de 7 de mayo, FJ 3; 95/2015, de 25 de mayo, FJ 2, y 99/2016, de 9 de mayo, FJ 2,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la solicitud de suspensión se hace preciso resaltar que el objeto del presente recurso de amparo lo constituye, exclusivamente, como advierte el Ministerio Fiscal, el enjuiciamiento acerca de si las resoluciones judiciales impugnadas, que deniegan la personación del recurrente en un proceso penal, lesionan su derecho a la tutela judicial efectiva sin indefensión (art. 24.1 CE), en relación con los derechos a la defensa, a ser informado de la acusación y a un proceso con todas las garantías (art. 24.2 CE). El recurrente solicita en el suplico de su demanda de amparo que se anulen esas resoluciones judiciales y que se admita su personación en las diligencias que se siguen ante el Juzgado Central de Instrucción núm. 5, “permitiéndole ejercer en el futuro todos los derechos que el art. 24 CE le reconoce, tramitando asimismo el recurso de reforma interpuesto contra su orden de de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la solicitud de suspensión no se refiere a los Autos impugnados en amparo, sino a la orden de detención que pesa sobre el recurrente, acordada en el Auto de 22 de enero de 2016 del Juzgado Central de Instrucción núm. 5, que no es objeto del presente recurso de amparo y respecto de la que únicamente se afirma por aquel que, de no acordarse la suspensión (de la orden de detención), el amparo perdería su finalidad en caso que fuera otorgado, dada la duración ordinaria de la tramitación de estos proces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ni la solicitud de suspensión se refiere a las resoluciones judiciales impugnadas en amparo, ni el recurrente satisface la carga procesal de precisar cuáles serían los supuestos perjuicios irreparables que, derivados de la ejecución de las resoluciones impugnadas, harían perder al amparo su finalidad (art. 56.1 y 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l hecho de que la orden de detención que pesa sobre el recurrente llegara a ejecutarse tampoco permitiría sin más presumir la existencia de perjuicios irreparables para aquel, al margen de que, por tratarse de una eventualidad futura, en caso de sobrevenir pudiera dar lugar, ex artículo 57 LOTC, a que este Tribunal se pronunciase, si así se le solicita, sobre la procedencia de adoptar la medida cautelar que ahora se deniega (entre otros muchos, AATC 107/1998, de 4 de mayo, FJ 2; 35/2002, de 11 de marzo, FJ 3; 361/2003, de 10 de noviembre, FJ 2; 117/2004, de 19 de abril, FJ 4, y 3/2017, de 16 de ener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