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31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5437-2014, interpuesto por Directora del Servicio Jurídico del Gobierno de Canarias contra los artículos 6, 19 y 20 de la Ley 20/2013, de 9 de diciembre, de garantía de la unidad de mercado. Ha comparecido y formulado alegaciones el Abogado del Estado.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Directora General del Servicio Jurídico del Gobierno de Canarias, actuando en la representación que legalmente ostenta, interpuso recurso de constitucionalidad mediante escrito registrado en el Tribunal Constitucional el 10 de septiembre de 2014 contra los artículos 6, 19 y 20 de la Ley 20/2013, de 9 de diciembre, de garantía de la unidad de mercado. Se fundamenta el citado recurso en los argumentos que se expresan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la demanda transcribiendo parcialmente el preámbulo de la Ley 20/2013. Indica que de él se extrae ya que el principio de eficacia en todo el territorio nacional de las actuaciones administrativas constituye uno de los elementos centrales de la Ley. También se refiere a la estructura de la Ley 20/2013 y señala que el artículo 6 se inserta en su capítulo I y se refiere, precisamente, a dicho principio de eficacia en todo el territorio nacional de las actuaciones de las autoridades competentes, principio al que se dedican también los otros dos artículos, 19 y 20, que se impugnan en este recurso. Procede después la demanda a recordar que, según la disposición final cuarta de la Ley 20/2013, ésta “se dicta en ejercicio de las competencias exclusivas del Estado para la regulación de la condiciones básicas que garanticen la igualdad de todos los españoles en el ejercicio de los derechos y en el cumplimiento de los deberes constitucionales, legislación procesal, en materia de bases y coordinación de la planificación general de la actividad económica, así como sobre las bases del régimen jurídico de las Administraciones Públicas y la legislación básica sobre contratos administrativos, recogidas respectivamente en las materias del artículo 149.1.1, 6, 13 y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argumenta que la Ley 20/2013 incurre en un exceso competencial al regular el principio de eficacia en todo el territorio nacional de las actuaciones de las autoridades competentes. Ese exceso se habría producido al sustraer a las Comunidades Autónomas el ejercicio, en su ámbito territorial, de las competencias consistentes en el establecimiento y regulación de las diferentes intervenciones administrativas sobre las actividades económicas que allí hayan de desarrollarse. Con ello queda vacío de contenido su poder de decisión y, por tanto, se merma la autonomía política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después la Comunidad Autónoma impugnante a efectuar unas reflexiones generales sobre el objeto de la Ley 20/2013, y sobre la unidad de mercado que ésta pretende garantizar. Recuerda que, según su artículo 1, el objeto de la norma es “establecer las disposiciones necesarias para hacer efectivo el principio de unidad de mercado en el territorio nacional” y, en particular, “garantizar la integridad del orden económico y facilitar el aprovechamiento de las economías de escala y alcance del mercado mediante el libre acceso, ejercicio y expansión de las actividades económicas en todo el territorio nacional garantizado su adecuada supervisión, de conformidad con los principios contenidos en el artículo 139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servicio de ese propósito, la Ley 20/2013 regula en su capítulo II los “principios de garantía de la libertad de establecimiento y la libertad de circulación”, refiriéndose a los principios de no discriminación, cooperación y confianza mutua, necesidad y proporcionalidad, eficacia de las actuaciones de las autoridades competentes en todo el territorio nacional, simplificación de cargas y transparencia, y a la garantía de las libertades de los operadores económicos. Todas estas garantías se desarrollan en el capítulo IV de la Ley. En particular, el principio de libre iniciativa económica se enuncia en el artículo 16 de la Ley 20/2013 y se modula mediante la aplicación de los principios de proporcionalidad y necesidad, que permiten el establecimiento de un marco de intervenciones administrativas sobre las actividades económicas, mediante el empleo de autorizaciones, declaraciones responsables o comunicaciones previas. El régimen de esas formas de intervención se entenderá sin perjuicio de lo previsto en el capítulo V de la Ley. Dicho capítulo supone, según la Comunidad Autónoma impugnante, un ataque al sistema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de intervención administrativa que se acaba de sintetizar se ve profundamente matizado con la consagración del principio de eficacia de las actuaciones de las autoridades competentes en todo el territorio nacional, contemplado en el artículo 6 y desarrollado en los artículos 19 y 20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19 señala que “desde el momento en que un operador económico esté legalmente establecido en un lugar del territorio español podrá ejercer su actividad en todo el territorio, mediante establecimiento físico o sin él, siempre que cumpla los requisitos de acceso a la actividad del lugar de origen, incluso cuando la actividad económica no esté sometida a requisitos en dicho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20, por su parte, refuerza el anterior y asegura la plena eficacia de las actuaciones administrativas en todo el territorio nacional, enumerando los requisitos y trámites que no pueden exigirse adicionalmente a los impuestos por la autoridad de origen.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autorizaciones, licencias, habilitaciones y cualificaciones profesionales obtenidas de una autoridad competente para el acceso o el ejercicio de una actividad, para la producción o la puesta en el mercado de un bien, producto o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declaraciones responsables y comunicaciones presentadas ante una autoridad competente para el acceso o el ejercicio de una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inscripciones en registros que sean necesarias para el acceso o ejercicio de una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Cualesquiera otros requisitos normativamente establecidos que permitan acceder a una actividad económica o ejercerla”.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20.4 regula las excepciones al principio de eficacia en todo el territorio nacional. Éstas afectan a las intervenciones vinculadas a una concreta instalación o infraestructura física y a los actos administrativos relacionados con la ocupación del dominio público o con supuestos en que el número de operadores económicos en un lugar del territorio es limitado en función de la existencia de servicios públicos sometidos a tarifas reguladas.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toda esta regulación, se aduce en la demanda, la Ley 20/2013 establece un giro proactivo al principio de espacio económico único previsto en el artículo 139 CE. Este precepto ha sido interpretado por el Tribunal Constitucional respetando el equilibrio de la diversidad que se deriva del modelo de Estado y de la autonomía política de las Comunidades Autónomas. Según expresa la STC 88/1986, FJ 6, la unidad de mercado “no significa uniformidad, ya que la misma configuración del Estado español y la existencia de Entidades con autonomía política, como son las Comunidades Autónomas, supone necesariamente una diversidad de regímenes jurídicos.” Esa misma idea late, según el recurso, en otras sentencias, tales como la STC 66/1991, FJ 2; la STC 96/2011, FJ 11, y la STC 96/2013. En ese marco de equilibrio, la Constitución atribuye al Estado el papel de garante de la unidad de mercado que implica respecto a su contenido un mínimo normativo o un presupuesto para el reparto de competencias entre el Estado y las Comunidades Autónomas (SSTC 133/1997 y 96/2002).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al amparo del principio de unidad de mercado no es admisible obstaculizar la existencia de regímenes diversos que afecten a la libertad de empresa, siempre que se respete su contenido esencial. Sin embargo, la Ley 20/2013 da al principio una dimensión positiva que le lleva, no ya a preservar el espacio económico existente, cuya constitucionalidad ex artículo 139 CE no ofrece dudas, sino a ampliarlo o a construir uno nuevo, mediante la ampliación de las oportunidades económicas y la eliminación de lo que se consideran barreras, pero que en realidad no lo son. Los medios de intervención que se concretan en autorizaciones, declaraciones responsables o comunicaciones previas son legítimos en los términos de la propia Ley 20/2013, siempre que concurran motivos de interés general y se respeten los principios de necesidad y proporcionalidad. Sin embargo, al aplicar el principio de eficacia nacional de las actuaciones de las autoridades competentes, esos medios de intervención se consideran barreras a la libre circulación y causas de fragmentación de la unidad de mercado, sin valorar si son o no legítimos en función del cumplimiento de los requisitos impuestos legalmente. De esta forma, se va más allá de las medidas adoptadas por la normativa de liberalización de servicios en el ámbito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en todo lo que no constituyan actividades de servicios, la normativa estatal debería dejar espacio de actuación al legislador autonómico, allí donde el sistema de distribución competencial lo permita, para que pueda valorar las condiciones de ejercicio de actividades por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la impugnación concreta de los artículos 6, 19 y 20 de la Ley 20/2013, la Comunidad Autónoma recurrente afirma que es cierto que el Tribunal Constitucional ha establecido que las Comunidades Autónomas pueden adoptar decisiones con consecuencias de hecho fuera su ámbito territorial. Sin embargo, ello debe ser matizado en el ámbito ejecutivo, porque la jurisprudencia ha precisado que las actuaciones administrativas deben quedar estrictamente limitadas al ámbito territorial de la respectiva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20/2013 pugna con esa línea jurisprudencial apoyándose en las competencias estatales previstas en los apartados 1, 6, 13 y 18 del artículo 149.1 CE. Pero estos títulos competenciales se proyectan sobre ámbitos materiales de la actuación pública sin capacidad para enervar los límites territoriales establecidos en la Constitución y los Estatutos de Autonomía. Es decir, con base en esos títulos se puede establecer una regulación de aplicación a todas las Comunidades pero no se pueden reordenar los territorios autonómicos, aunque sólo sea en materia económica, pues ello está reservado a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según la demanda, el sistema diseñado en la Ley 20/2013 posibilita la existencia de situaciones jurídicas dispares, de forma que una misma actividad económica desarrollada en un territorio puede estar sujeta a regímenes diferentes en función de si el operador que la lleva a efecto está o no establecido en otro punto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finaliza la impugnación afirmando que los efectos de la Ley 20/2013 son especialmente significativos en la Comunidad Autónoma de Canarias ya que su aislamiento geográfico la singulariza desde la perspectiva de la ultraterritorialidad. Además, considera que el régimen especial de Canarias en la Unión Europea puede justificar medidas excepcionales que amparen una aplicación diferenciada de la Ley 20/2013 en el archipiélago.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la recurrente sostiene que aunque se comparta el objetivo de liberalización económica, la solución de la Ley 20/2013 no resuelve el problema de compatibilidad de las legislaciones de las Comunidades Autónomas. La Ley 20/2013 asume esa compatibilidad, como si implícitamente se hubiera efectuado una armonización de legislaciones, pero esa armonización no existe y habría de aprobarse por la vía del artículo 150.3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septiembre de 2014, el Pleno del Tribunal Constitucional, a propuesta de la Sección Tercera, acordó admitir a trámite el recurso de inconstitucionalidad y dar traslado de la demanda y documentos presentados, conforme dispone el artículo 34 de la Ley Orgánica del Tribunal Constitucional (LOTC), al Congreso de los Diputados, al Senado y al Gobierno de la Nación, con objeto de que pudieran personarse en el proceso en el plazo de quince días y pudieran formular las alegaciones que estimaren convenientes. También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3 octubre de 2014 el Abogado del Estado se persona en el recurso en nombre del Gobierno y solicita prórroga por el máximo legal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acordó tenerle por personado y concederle una prórroga en ocho días más del plazo concedido en la providencia de 29 de septiembre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7 de diciembre los Presidentes del Senado y del Congreso remiten sendos escritos a este Tribunal, por los que comunican los acuerdos de las respectivas mesas de las Cámaras personándose en el proceso y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remite su escrito de alegaciones en escrito registrado en este Tribunal el 3 de noviembre de 2014. En síntesis, sus argumentos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concretar el objeto del recurso de inconstitucionalidad, trae a colación determinados aspectos de la Ley 20/2013, sus principales características y su presupuesto de hecho, la unidad de mercado, citando la doctrina constitucional al respecto. Afirma que la unidad de mercado es una de las manifestaciones de la unidad básica que la Constitución proclama, que se concreta en la unidad del orden económico en todo el ámbito el Estado (STC 96/1984, de 19 de octubre, FJ 3). De esa unidad se infiere la exigencia de un mercado único (STC 88/1986, de 1 de julio, FJ 6), que equivale a “mercado español” o “mercado nacional”, esto es, al espacio económico unitario reconocido implícitamente por el artículo 139.2 CE (STC 87/1985, FJ 6). Recuerda los pronunciamientos de este Tribunal en relación con el necesario equilibrio entre la unidad de mercado y la diversidad que deriva de la autonomía política de las Comunidades Autónomas, que se concreta en que “la garantía de la unidad de mercado en el territorio nacional, no impide toda normación que, de una manera o de otra, pueda afectar a la libertad de circulación, sino la 'fragmentación del mercado'” (STC 32/1983, de 28 de abril, FJ. 3), en el sentido de que “las consecuencias objetivas de las medidas adoptadas impliquen el surgimiento de obstáculos que no guardan relación con el fin constitucionalmente lícito que aquellas persiguen”. De este modo, “[a]l Estado se le atribuye por la Constitución el papel de garante de la unidad del mercado español” (STC 96/2002): i) de acuerdo con la protección de la libertad de empresa y en ejercicio de su competencia exclusiva sobre la materia “bases y coordinación de la planificación general de la actividad económica” (arts. 38 y 149.1.13 a de la Constitución); ii) para asegurar la libre circulación de bienes en el territorio español, impidiendo los obstáculos a la misma por parte de los poderes públicos (art. 139.2); y, iii) puede hacerlo, respetando la distribución competencial entre Estado y Comunidades Autónomas, con el objetivo de evitar la “fragmentación del mercado” y los “efectos disgregadores o disfuncionales” que se deriven de una diversidad de normas autonómicas, cuya singularidad exceda de un fin legítimo, es decir, cuando esa diversidad no sea adecuada al objeto que persigue o sea desproporcionada. La unidad de mercado implica, pues, respecto a su contenido, un “mínimo normativo” o un “presupuesto para el reparto de competencias” entre el Estado y las Comunidades Autónomas (STC 133/1997 y 96/2002).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posición de garante de la unidad de mercado que la Constitución atribuye al Estado, dice el representante de éste, cobra especial relevancia en los casos en los que se aprecia fragmentación del mercado o efectos disgregadores o disfuncionales. Así sucede en el momento actual de la economía española, en el que la diversidad normativa y la calidad de la regulación provocan un mal funcionamiento del mercado nacional. De este modo, el Abogado del Estado justifica en su escrito la existencia de una fragmentación del mercado, lo que implica que, a su juicio, las medidas adoptadas por el legislador estatal son necesarias, idóneas y proporcionadas al fin que se persigue. Es decir, las disposiciones de la Ley 20/2013 cumplen con el juicio de razonabilidad y proporcionalidad, pues están amparadas por una finalidad legítima y superan el triple test de idoneidad, necesidad y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apartado de sus alegaciones, el Abogado del Estado desarrolla las razones por las que considera que existe fragmentación del mercado. Parte de que la abundante producción normativa desarrollada en España ha creado un marco regulatorio muy gravoso para las empresas, disperso, complejo, poco coherente y con duplicidades, lo que dificulta la competencia efectiva e impide aprovechar las economías de escala de un mercado de mayores dimensiones. Los intentos de racionalización del marco normativo (transposición de la Directiva 2006/123/CE de 12 de diciembre sobre servicios en el mercado interior y Ley 2/2011, de economía sostenible,) no han sido suficientes para cambiar esa realidad en España. Por otro lado, el impacto de las medidas previstas por la norma cuestionada ha sido estimado mediante modelos económicos con la finalidad de comprobar sus efectos a corto y largo plazo, y se ha llegado a la conclusión de que se obtendrán crecimientos del producto interior bruto del 1,21 por 100 y el 1,26 por 100 a corto plazo y entre el 1,5 por 100 y el 1,9 por 100 en el largo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se analizan las principales medidas de la Ley impugnada. En primer lugar, la Ley 20/2013 concibe la garantía de la unidad de mercado partiendo de la libertad de empresa del artículo 38 CE y establece una serie de medidas para imponer a todas las Administraciones públicas y en todas las actividades económicas la observancia de los principios de la Ley, esto es, la garantía de las libertades de los operadores económicos (art. 9.1). En particular, la garantía de la mitad del mercado impone la observancia de los principios de no discriminación y de eficacia en todo el territorio nacional, de suerte que la libertad de establecimiento, la libertad de circulación de bienes y la libertad de circulación de productos queden salvaguardadas cuando, respectivamente, se cumplan los requisitos de acceso en el lugar de origen, se atienda la normativa de la puesta en el mercado o se vean satisfechas las cualificaciones, controles o garantías ya exigidas en un lugar del territorio nacional. Añade el representante del Estado que ello no supone ninguna novedad, puesto que al amparo de la ley 17/2009 y de su desarrollo, las Administraciones públicas están incorporando ya este principio en numerosos sectores, incluyendo en su normativa disposiciones que expresamente reconocen la validez de la habilitación de otras autoridades competentes, sin necesidad de cumplir más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V desarrolla las disposiciones relativas a la segunda gran aportación de la Ley 20/2013: el principio de eficacia en todo el territorio nacional. El Abogado del Estado recuerda la STC 100/1991, de 13 de mayo, FJ 5 e), en la que se admitió que los actos de intervención realizados por una Comunidad Autónoma con validez en todo el territorio nacional son un instrumento constitucional para evitar la “ruptura del principio de unidad de mercado” y para garantizar el “mantenimiento del principio de igualdad de todos los españoles en el ejercicio de sus derechos”. Este criterio se reiteró en la STC 236/1991, de 12 diciembre, FJ 5, en la que se añadió que del establecimiento por el legislador estatal de un acto de verificación autonómico de carácter nacional no se deriva “exclusión alguna de las facultades autonómicas de ejecución, sino un razonable reconocimiento de la eficacia extraterritorial o supracomunitaria de la actividad de control efectuada por las Administraciones autonómicas”. Esta doctrina constitucional parte de que las Comunidades Autónomas “son Administraciones Públicas igualmente integrantes del Estado” y que, por tanto, el acto de verificación realizado por cualquiera de ellas es digno de igual confianza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Abogado del Estado pasa a definir el alcance del principio de eficacia nacional de las actuaciones emanadas de las Comunidades Autónomas y entidades locales. Para ello, parte del artículo 19.1 de la Ley 20/2013 que, a su juicio, se refiere sólo a los requisitos exigidos para el acceso a una actividad económica en un determinado ámbito territorial, que en la actualidad pueden ser diferentes y acumulativamente exigibles en diferentes Administraciones. Considera que ello puede no tener justificación objetiva y afectar por tanto a los principios de no discriminación del artículo 3; simplificación de cargas del artículo 7; y, muy especialmente, al principio de confianza mutua y eficacia nacional de los artículos 4 y 6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20/2013 —sigue razonando el Abogado del Estado— no pretende que desaparezcan las competencias de las Comunidades Autónomas y de las entidades locales. Pretende reforzar los mecanismos de confianza legítima para acceder a una actividad económica teniendo en cuenta todos los intereses que deben ser objeto de protección. Ello, sin perder de vista la necesidad de que las competencias de inspección, control y supervisión deban seguir residenciándose en la Administración generadora de la norma que regula el acceso o el ejercicio de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representante estatal, el acceso a la actividad no debe ser confundido con su ejercicio. La Ley 20/2013 pretende definir un solo lugar de acceso, de manera que, una vez que se accede a la actividad, no se deban cumplir más requisitos, ni diferentes, en ninguna otra Administración. La Ley 20/2013, por tanto, no limita la normativa ni los requisitos aplicables al “ejercicio” de la actividad, que corresponderá definir a la Administración donde se produzca efectivamente ese ejercicio y a la normativa estatal de aplicación. El control, la supervisión o la inspección de los requisitos de acceso siguen siendo de la competencia de la Administración que los ha impuesto en el ejercicio de sus propias competencias (“autoridad de origen”). La “autoridad de destino”, la del lugar en donde se ejerce la actividad, ejercerá sus competencias de control o supervisión sobre las condiciones de ejercicio, pero también ejercerá competencias en materia de control de las condiciones de acceso, de forma que si se detectan incumplimientos, deberá comunicarlos a la autoridad de origen para que ejerza sus competencias. La participación y colaboración de la autoridad de destino es, pues, indispensable en el ejercicio de la potestad de control reconocida por la Ley 20/2013 a la autoridad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Abogado del Estado que las Comunidades Autónomas pueden seguir acordando, en ejercicio de sus competencias, las medidas de intervención que consideren oportunas de acuerdo con la legislación estatal y europea, pero las mismas sólo serán de aplicación de acuerdo con el punto de conexión fijado por la Ley 20/2013; es decir, respecto de los prestadores de servicios, serán las medidas fijadas por la Comunidad en que primero se establezcan; y, respecto de las mercancías, serán las del lugar en que éstas se produzcan (art. 19.1 y 2 de la Ley 20/2013), con la regla complementaria prevista en la disposición adicional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Abogado del Estado afirmando que la regulación establecida en los preceptos recurridos no vulnera tampoco el principio de seguridad jurídica del artículo 9.3 CE. Antes al contrario, la norma pretende, precisamente, dar seguridad jurídica tanto a los operadores como a los consumidores, simplificando el régimen jurídico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31 de octubre de 2017 se señaló para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la Comunidad Autónoma de Canarias contra los artículos 6, 19 y 20 de la Ley 20/2013, de 9 de diciembre,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recurrente, en los términos expuestos con más detalle en los antecedentes, la inconstitucionalidad de los preceptos impugnados por considerar que la regulación en ellos contenida excede de las competencias estatales de los apartados 1, 13 y 18 del artículo 149.1 CE. El Abogado del Estado, actuando en representación del Gobierno de la Nación, defiende por su parte la validez de todos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20/2013, de 9 de diciembre, de garantía de la unidad de mercado, ha sido ya objeto, en lo que ahora interesa, de las Sentencias resolutorias de los recursos de inconstitucionalidad núms. 1397-2014 y 1411-2014, interpuestos, respectivamente, por el Parlamento de Cataluña (STC 79/2017, de 22 de junio) y el Gobierno de la misma Comunidad Autónoma (STC 110/2017,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referidas Sentencias cobran relevancia en el presente proceso puesto que han declarado ya inconstitucionales y nulos los tres preceptos legales que ahora se impugnan. Así, los artículos 19 y 20 de la Ley 20/2013 fueron anulados por la STC 79/2017 (FFJJ 13 y 14) y el artículo 6 de la Ley 20/2013 lo fue, en aplicación de la doctrina de la STC 79/2017, por la STC 110/2017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una consolidada doctrina constitucional [entre otras, las SSTC 111/2016 , FJ 2 a); 168/2016, FJ 2 a); 180/2016, FJ 3 a); 44/2017, FJ 2 a); 45/2017, FJ 2 a); 54/2017, FJ 2 a), 93/2017, FJ 2 a), y 101/2017, FJ 2 a)], la expulsión del ordenamiento jurídico de los citados preceptos determina la pérdida sobrevenida de objeto de las impugnaciones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extinguida, por pérdida sobrevenida de objeto, la impugnación de los artículos 6, 19 y 20 de la Ley 20/2013 de 9 de diciembre, de garantía de la unidad de mercado.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