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1588-2017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1588-2017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el recurso de amparo núm. 1588-2017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marzo de 2017, la Procuradora de los Tribunales doña Elena Beatriz López Macías, en nombre y representación de Inves, S.A., interpuso demanda de amparo contra el Auto del Juzgado de lo Contencioso-Administrativo núm. 33 de Madrid de 8 de febrero de 2017, por el que se desestima el incidente de nulidad de actuaciones interpuesto contra la Sentencia de 25 de noviembre de 2016 dictada en el procedimiento abreviado núm. 334-2015, sobre devolución de ingresos indebidos del impuesto sobre el incremento de valor de los terrenos de naturaleza urbana. Dicho recurso fue registrado con el núm. 1588-2017 y su conocimiento correspondió, por turno de reparto, a la Sección Tercera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acuerdo de 28 de marzo de 2017, del Pleno del Tribunal Constitucional, por el que se dispone la composición de las Salas y Secciones del Tribunal Constitucional (“Boletín Oficial del Estado” de 29 de marzo de 2017), a partir de la referida fecha la Sección Tercera, de la Sala Segunda, presidida por la Vicepresidenta del Tribunal, está integrada por doña Encarnación Roca Trías, don Juan Antonio Xiol Ríos y don Pedro González-Trevijano Sánchez (art.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20 de noviembre de 2017 el Magistrado don Juan Antonio Xiol Ríos comunicó su voluntad de abstenerse en el conocimiento del presente recurso de amparo por entender que concurría la causa establecida en el artículo 219.10 de la Ley Orgánica del Poder Judicial (tener interés indirecto en la causa), ya que mantiene pendiente de resolución administrativa una solicitud de reintegro de ingresos indebidos similar a la planteada en el presente recurso y que podría verse afectada por el pronunciamiento que recaiga en este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artículos 80 de la Ley Orgánica del Tribunal Constitucional y 221.4 de la Ley Orgánica del Poder Judicial (LOPJ), se estima justificada la causa de abstención formulada, puesto que el mencionado Magistrado, en atención a que mantiene pendiente de resolución administrativa una solicitud de reintegro de ingresos indebidos similar a la planteada en el presente recurso y que podría verse afectada por el pronunciamiento que recaiga en este procedimiento, está incurso en la causa 10 del artículo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el recurso de amparo núm. 1588-2017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