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Acumular los recursos de amparo registrados con los números 3313-2017, 3331-2017, 3358-2017, 3362-2017 y 3376-2017, al recurso de amparo registrado con el número 3218-2017, que seguirán así una misma tramitación hasta su resolución, también única, por esta Sala, desde el común estado procesal en que se hallan, pendientes de señalamiento para la deliberación y votación de la Sentencia.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acumulación del recurso de amparo registrado con el número 1584-2017 a los recursos de amparo registrados con los números 3218-2017, 3313-2017, 3331-2017, 3358-2017, 3362-2017 y 3376-2017.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2017, la Procuradora de los Tribunales doña María del Carmen Iglesias Saavedra, en nombre y representación de don Pedro Chaparro Velacoracho,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722-2016, aclarada por Auto de 7 de febrero de 2017, la cual, estimando los recursos interpuestos contra la Sentencia de 19 de febrero de 2016, dictada por la Sección Trigésima de la Audiencia Provincial de Madrid en procedimiento abreviado núm. 313-2015, condenó al demandante de amparo como autor responsable de los delitos consumados de desórdenes públicos en concurso ideal con el de impedimento del derecho de reunión, con la concurrencia de la agravante de obrar por motivos de discriminación ideológica, a la pena de dos años y diez meses de prisión, y de daños ocasionados en bienes de propiedad pública a la pena de un año y un mes de prisión y multa de 15 meses al concurrir la agravante de actuar por motivos ideológicos discriminatorios y la atenuante de reparación del daño. La presentación de dicho escrito dio lugar al recurso de amparo núm. 3218-2017,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26 de junio de 2017, la Procuradora de los Tribunales doña Cayetana de Zulueta Luschinger, en nombre y representación de don Víctor Diego Villalva y de don Santiago Cabezuela García,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722-2016, aclarada por Auto de 7 de febrero de 2017, la cual, estimando los recursos interpuestos contra la Sentencia de 19 de febrero de 2016 dictada por la Sección Trigésima de la Audiencia Provincial de Madrid en procedimiento abreviado núm. 313-2015, condenó a los demandantes de amparo como autores responsables de los mismos delitos y a las mismas penas antes referidas. La presentación de dicho escrito dio lugar al recurso de amparo núm. 3313-2017,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27 de junio de 2017, la Procuradora de los Tribunales doña María del Carmen Iglesias Saavedra, en nombre y representación de doña Paula Mijares Casado,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722-2016, aclarada por Auto de 7 de febrero de 2017, la cual, estimando los recursos interpuestos contra la Sentencia de 19 de febrero de 2016, dictada por la Sección Trigésima de la Audiencia Provincial de Madrid en procedimiento abreviado núm. 313-2015, condenó a la demandante de amparo como autora responsable de los mismos delitos y a las mismas penas antes referidas. La presentación de dicho escrito dio lugar al recurso de amparo núm. 3331-2017,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28 de junio de 2017, la Procuradora de los Tribunales doña Begoña del Arco Herrero, en nombre y representación de don José Pedro Cruz Sanz, don Javier Marcos Aroca, don Sergio Reguilón Fumero, don Manuel Andrino Lobo y don Jesús Fernando Fernández Gil,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722-2016, aclarada por Auto de 7 de febrero de 2017, la cual, estimando los recursos interpuestos contra la Sentencia de 19 de febrero de 2016, dictada por la Sección Trigésima de la Audiencia Provincial de Madrid en procedimiento abreviado núm. 313-2015, condenó a los demandantes de amparo como autores responsables de los mismos delitos y a las mismas penas antes referidas, salvo a don Jesús Fernando Fernández Gil que lo fue a la pena de dos años y once meses, con igual agravante, por el delito de desórdenes públicos en concurso ideal con el de impedimento del derecho de reunión, y por el delito de daños ocasionados en bienes de propiedad pública a la pena de un año y dos meses de prisión por concurrir la agravante de obrar por motivos discriminatorios ideológicos, reincidencia y la atenuante de reparación del daño, y dieciocho meses de multa con igual cuota diaria y arresto sustitutorio. La presentación de dicho escrito dio lugar al recurso de amparo núm. 3358-2017,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28 de junio de 2017, el Procurador de los Tribunales don Antonio Esteban Sánchez, en nombre y representación de don Pablo Pavón Cadierno,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722-2016, aclarada por Auto de 7 de febrero de 2017, la cual, estimando los recursos interpuestos contra la Sentencia de 19 de febrero, dictada por la Sección Trigésima de la Audiencia Provincial de Madrid en procedimiento abreviado núm. 313-2015, condenó al demandante de amparo como autor responsable de los mismos delitos y a las mismas penas antes referidas. La presentación de dicho escrito dio lugar al recurso de amparo núm. 3362-2017,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29 de junio de 2017, el Procurador de los Tribunales don Javier Campal Crespo en nombre y representación de don Íñigo Pérez de Herrasti Urquijo y de don Miguel Venegas Girón, formuló demanda de amparo contra el Auto de la Sala de lo Penal del Tribunal Supremo de 4 de mayo de 2017 por el que se desestimó el incidente de nulidad de actuaciones promovido contra la Sentencia de 11 de enero de 2017, dictada por la misma Sala en recurso de casación núm. 722/16, aclarada por Auto de 7 de febrero de 2017, la cual, estimando los recursos interpuestos contra la Sentencia de 19 de febrero de 2016, dictada por la Sección Trigésima de la Audiencia Provincial de Madrid en procedimiento abreviado núm. 313-2015, condenó a los demandantes de amparo como autores responsables de los mismos delitos y a las mismas penas antes referidas. La presentación de dicho escrito dio lugar al recurso de amparo núm. 3376-2017, cuyo conocimiento correspondió a la Sala Segunda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recursos de amparo núm. 3218-2017, 3313-2017, 3331-2017, 3358-2017, 3362-2017 y 3376-2017, fueron admitidos a trámite por providencias de la Sala Segunda de este Tribunal Constitucional de 16 de noviembre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cada providencia se dirigió atenta comunicación a la Sala de lo Penal del Tribunal Supremo y a la Sección Trigésima de la Audiencia Provincial de Madrid para la remisión del testimonio de las actuaciones, en aplicación de lo dispuesto en el artículo 51 de la Ley Orgánica del Tribunal Constitucional (LOTC), y se acordó el emplazamiento de quienes hubieran sido parte en el procedimiento para comparecer en los citados recursos de amparo, con la excepción del respectivo recurrente. Asimismo, se daba trámite de audiencia al Ministerio Fiscal y la parte recurrente por plazo de tres días hábiles por si procediera la acumulación de los recursos de amparo admitidos a trámite, de conformidad con el artículo 83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mediante escritos registrados el 21 de noviembre de 2017, presentó sus alegaciones interesando la acumulación de los recursos de amparo registrados con los números 3313-2017, 3331-2017, 3358-2017, 3362-2017 y 3376-2017, al recurso de amparo registrado con el número 3218-2017, por ser el que cuenta con fecha de registro anterior en este Tribunal. A su juicio se dan los dos requisitos básicos que autorizan la acumulación de recursos de amparo. Considera, por un lado, que la resolución impugnada se dicta en el mismo proceso y en ella se le imputan a los recurrentes los mismos hechos y se les condena por los mismos delitos. Por otro, observa que los diferentes recursos de amparo se hayan en la misma fase procesal y el objeto y las pretensiones que se deducen son comunes al invocarse en todos los recursos la vulneración del derecho a un proceso con todas las garantías del artículo 24.2 CE, por agravamiento de la situación jurídica de los recurrentes sin haber oído en el trámite de casación. Si bien advierte de que la identidad podría ser fragmentaria dada la alegación de posibles vulneraciones de otros derechos fundamentales por parte de algunos recurrentes, concluye que existe una conexión objetiva entre los distintos procesos de amparo mencionados que justificaría su unidad de tramitación y decisión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escritos registrados los días 17, 20, 21, 22 y 27 de noviembre de 2017, los demandantes en los recursos de amparo núm. 3218-2017, 3313-2017, 3331-2017, 3358-2017 y 3362-2017, manifestaron su conformidad con la acumulación. La representación procesal de los demandantes de amparo que interpusieron el recurso de amparo núm. 3376-2017, no ha dado respuesta a la providencia de la Sala Segunda del Tribunal Constitucional de 16 de noviembre de 2017 en lo referente a este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este Tribunal el 7 de diciembre de 2017, la Procuradora de los Tribunales doña Cristina Gramage López, en nombre y representación de don Tomás Bor, solicitó que se la tuviera por personada a efectos de poder efectuar alegaciones en su nombre y representación, interesando asimismo que este Tribunal se pronunciara, al amparo de lo dispuesto en el artículo 83 LOTC, sobre la posibilidad de acumular el recurso de amparo núm. 1584-2017 —formulado en su día contra la Sentencia de 11 de enero de 2017 dictada en recurso de casación núm. 722-2016— al recurso de amparo núm. 3218-2017, tras haber sido aquél inadmitido a trámite, mediante providencia de la Sala Segunda de este Tribunal de 11 de julio de 2017, por falta de agotamiento de la vía judicial previa al recurso de amparo al no haberse promovido el incidente de nulidad de actuaciones contra la Sentencia del Tribunal Supremo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83 de la Ley Orgánica del Tribunal Constitucional (LOTC) permite a este Tribunal,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y, por otro, que tal conexión sea relevante en relación con su tramitación y decisión unitarias o, lo que es lo mismo, que la referida conexión justifique la unidad de tramitación y decisión (AATC 417/2003, de 15 de diciembre, FJ 2; 5/2013, de 14 de enero, FJ único; 285/2013, de 16 de diciembre, FJ único, y 82/2016, de 25 de abril,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las resoluciones judiciales que se impugnan, aun cuando los recursos de amparo que ahora nos ocupan han sido interpuestos por distintos demandantes, que actúan, en algunos casos, bajo una diferente asistencia letrada y representación procesal, han sido dictadas en el mismo proceso y condenan a los demandantes por los mismos hechos, siendo su actuar conjunto lo que determina, como así pone de manifiesto el Fiscal, la calificación jurídico-penal determinante de la condena de todos ellos. En segundo lugar, todos los recursos de amparo se encuentran en la misma fase procesal tras su admisión a trámite y su fundamentación jurídica básica es común, salvo en el caso del registrado con el número 3331-2017, pues en todos se alega la posible vulneración del proceso con todas las garantías del artículo 24.2 CE, al haber apreciado la Sentencia del Tribunal Supremo circunstancias que determinaron el agravamiento de las condenas impuestas por la Audiencia Provincial de Madrid, sin haber oído a los demandantes en el trámite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justifica, dada la conexión entre los recursos de amparo registrados con los números 3218-2017, 3313-2017, 3358-2017, 3362-2017 y 3376-2017, la acumulación de los recursos de amparo con número de registro más moderno al más antiguo para su resolución conjunta (art. 84.1 de la Ley de enjuiciamiento civil, en relación con el art. 80 LOTC). También la del recurso número 3331-2017, aunque la única vulneración que se esgrime en la demanda de amparo sea la vulneración del artículo 24.1 CE en su vertiente del derecho a la motivación de las resoluciones judiciales, y ello en aras de una tramitación unitaria que dotara de mayor agilidad y permitiera dar una solución conjunta y coherente en todos los recursos, pues la situación jurídica es sustancialmente idéntica, se recurre la misma resolución judicial —Sentencia de 11 de enero de 2017 dictada en recurso de casación núm. 722/2016— y con similitud entre las posiciones jurídicas ostentadas inicialmente en la vía judicial (por todos, AATC 402/2003, de 15 de diciembre, FJ único; 332/2004, 13 de septiembre, FJ único, y 102/2005, de 14 de marzo, FJ único). Así lo confirma el interés mostrado en la acumulación por el Ministerio Fiscal y la representación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escrito presentado en este Tribunal el 7 de diciembre de 2017 por la Procuradora de los Tribunales doña Cristina Gramage López, no se puede acceder a la solicitud de acumulación del recurso de amparo registrado con el número 1584-2017, interpuesto en nombre y representación de don Tomás Bor contra las mismas resoluciones judiciales, al resto de los recursos ya enunciados, para la tramitación y resolución conjunta de todos ellos, toda vez que el citado recurso de amparo fue inadmitido a trámite por providencia de la Sala Segunda de este Tribunal de 11 de julio de 2017, al no haberse agotado debidamente la vía judicial previa al recurso de amparo; resolución judicial firme e irrevocable que determinó el archivo de la demanda, haciendo con ello imposible su reviviscencia posterior a efectos de la pretendida acumulación.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Acumular los recursos de amparo registrados con los números 3313-2017, 3331-2017, 3358-2017, 3362-2017 y 3376-2017, al recurso de amparo registrado con el número 3218-2017, que seguirán así una misma tramitación hasta su resolución, también única, por esta Sala, desde el común estado procesal en que se hallan, pendientes de señalamiento para la deliberación y votación de la Sentencia.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acumulación del recurso de amparo registrado con el número 1584-2017 a los recursos de amparo registrados con los números 3218-2017, 3313-2017, 3331-2017, 3358-2017, 3362-2017 y 3376-2017.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