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suspensión cautelar del lanzamiento dispuesto en el procedimiento de ejecución hipotecaria núm. 1134-2013 del Juzgado de Primera Instancia núm. 32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27 de febrero de 2018, doña Cruz Ximena Gaiborquiroz, representada por la procuradora doña María Teresa Marcos Moreno y asistida por el Letrado don Juan Carlos Rois Alonso, interpuso recurso de amparo frente a la providencia de 16 de enero de 2018, dictada por el Juzgado de Primera Instancia núm. 32 de Madrid, en el procedimiento de ejecución hipotecaria núm. 1134-2013, que inadmitió el incidente de nulidad promovido por la demandante de amparo, en el que se denunciaba el carácter abusivo de la cláusula de vencimiento anticipado del título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invoca la vulneración del derecho a la tutela judicial efectiva (art. 24.1 CE), en su vertiente del derecho de acceso a la justicia y a la motivación de las resoluciones judiciales, en relación con el principio de interdicción de la arbitrariedad (arts. 9.1 y 3 CE), el derecho a una vivienda digna (art. 47 CE), el principio de primacía del derecho comunitario (arts.10.2 y 96.1 CE) y la especial protección de los consumidores y usuarios (art. 51.1 CE, en relación con la Directiva 93/13 de la Unión).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solicitó la suspensión de la ejecución del lanzamiento de la vivienda que ocupa. Alega, en esencia, que, de no acordarse la  suspensión del lanzamiento acordado por el órgano judicial, se originaría un perjuicio irreparable. Aduce que, por otra parte, la citada medida cautelar no conlleva perturbación grave de los intereses generales ni la vulneración de derechos fundamentales 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5 de abril de 2018, la procuradora doña María Teresa Marcos Moreno, en representación de la demandante de amparo, presentó escrito en el registro general de este Tribunal en el que se pone de manifiesto la notificación, efectuada el 27 de marzo de 2018, de la diligencia de lanzamiento de la vivienda de su representada, fijado para el día 17 de abril de 2018. Tras dar por reproducidas las alegaciones efectuadas en el recurso de amparo, termina suplicando la suspensión del procedimiento y acto de lanzamiento de conformidad con el artículo 56.3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16 de abril de 2018, la Sección Tercera de este Tribunal acordó admitir a trámite el recurso de amparo al apreciar que el asunto trasciende del caso concreto porque plantea una cuestión jurídica de relevante y general repercusión social y económica [STC 155/2009, FJ 2 g)]. Acordó, al propio tiempo, dirigir comunicación al órgano judicial interviniente, a fin de que en el plazo que no exceda de diez días remita certificación o fotocopia adverada de las actuaciones correspondientes al procedimiento de ejecución hipotecaria núm. 1134-2013, y emplazar a quienes hubieran sido parte en el proceso del que trae causa el presente recurso, excepto la parte recurrente en amparo, para que en plazo de diez días puedan comparecer, si lo desean. Finalmente, al concurrir en el presente caso la urgencia excepcional a que se refiere el artículo 56.3 LOTC, se acordó suspender provisionalmente el lanzamiento señalado para el día 17 de abril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fecha, la Sección Tercera de este Tribunal dictó providencia acordando formar la pieza para la tramitación del incidente sobre la suspensión solicitada y conceder, conforme determina el artículo 56 LOTC, un plazo común de tres días a la recurrente y al Ministerio Fiscal para alegar lo que consideren procedente dentro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24 de abril de 2018, el Ministerio Fiscal formuló alegaciones. Tras hacer referencia a la jurisprudencia de este Tribunal respecto de la suspensión cautelar, estima que su aplicación debe llevar a considerar que, aun tratándose de una resolución de carácter patrimonial, nos encontramos ante un caso que puede acabar afectando a derechos esenciales como el de la vivienda digna. Estima, por lo expuesto, que procede la suspensión para evitar situaciones cuya reversibilidad deviniera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demandante de amparo no presentó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recurso de amparo se interpone contra la providencia de 16 de enero de 2018 que inadmitió el incidente de nulidad de actuaciones formulado por la demandante, en el que se denunciaba el carácter abusivo de la cláusula de vencimiento anticipado del título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admitido de forma reiterada —entre otros muchos, en los AATC 74/2013, de 8 de abril, FJ 2; 152/2013, de 8 de julio, FJ 2; 37/2014, de 10 de febrero, FJ 2; 59/2015, de 16 de marzo, FJ 2; 48/2016, de 29 de febrero; 106/2017, de 17 de julio, FJ 1, y 21/2018, de 5 de marzo, FJ 3—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esta consolidada doctrina constitucional y sin prejuzgar la decisión de fondo del recurso, procede acordar la suspensión solicitada,  puesto que, en caso contrario, se privaría a la demandante de amparo de la posesión de la vivienda habitual, mediante la ejecución del lanzamiento acordado por el órgano judicial, lo que abocaría a una situación difícilmente reversible, que haría perder la finalidad al presente recurso (en este sentido, ATC 37/2014, de 10 de febrero, FJ 3). Además, no se advierte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suspensión cautelar del lanzamiento dispuesto en el procedimiento de ejecución hipotecaria núm. 1134-2013 del Juzgado de Primera Instancia núm. 32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