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3433-2018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3433-2018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petición de suspensión solicitada de la pena de dos meses multa, con cuota diaria de 10 €, así como de la condena al pago de la responsabilidad civil derivada del delito, impuestas en Sentencia núm. 105/2017, de 12 de diciembre del Juzgado de Instrucción núm. 35 de Jaén (juicio por delito leve núm. 79-2017), en tanto se tramita el presente recurso de amparo núm. 4344-2018.</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Acordar la suspensión parcial de la ejecución de la citada Sentencia en cuanto ordena su anotación en el Registro central de penados, a cuyo efecto, deberá el Juzgado de Instrucción librar las órdenes oportunas para dejar sin efecto dicha inscripción hasta la resolución del presente proceso constitucional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fechado el 15 de junio de 2018, la representación procesal de doña Belén María Aguirre Rincón interpuso recurso de amparo alegando la vulneración del derecho a la presunción de inocencia (art. 24.2 CE), y del derecho fundamental a la tutela judicial efectiva e interdicción de la indefensión (art. 24.1 CE). Afirma que no fueron tomadas en consideración, ni tan siquiera valoradas, las pruebas de descargo que propuso y presentó en la causa penal que, por delito de estafa, se siguió contra ella ante el Juzgado de Primera Instancia e Instrucción núm. 3 de Andújar; lo que dio lugar a su condena, ratificada después por la Sección Tercera de la Audiencia Provincial de Jaén. La recurrente fue condenada como autora de un delito leve de estafa a la pena de noventa días-multa, con cuota diaria de diez euros, y responsabilidad personal subsidiaria, para el caso de impago, de un día de privación de libertad por cada dos cuotas impagadas; fue también condenada al abono de 250 euros en concepto de responsabilidad civil derivada del delito.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12 de noviembre de 2018, la Sección Primera del Tribunal Constitucional, por unanimidad, acordó admitir a trámite la demanda de amparo presentada por la Srª. Aguirre Rincón y, en consecuencia, dirigir atenta comunicación a la Sección Tercera de la Audiencia Provincial de Jaén (rollo núm. 387-2018) y al Juzgado de Primera Instancia e Instrucción núm. 3 de Andújar (juicio por delito leve 79-2017), a fin de que remitiesen certificación o fotocopia adverada de las actuaciones correspondientes, con emplazamiento para alegaciones de quienes hubieren sido parte en la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la misma fecha, la Sala Primera del Tribunal Constitucional acordó formar la oportuna pieza de suspensión, en los términos del artículo 56 de la Ley Orgánica del Tribunal Constitucional (LOTC), concediendo tres días al recurrente y al Ministerio Fiscal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16 de noviembre de 2018, tal y como solicitó en la demanda de amparo, la representación de la demandante ha ratificado su petición de que sean suspendidos cautelarmente todos los efectos del fallo condenatorio cuestionado en amparo; específicamente, como petición principal, solicita la suspensión de la obligación de pago de la multa impuesta, de la responsabilidad civil declarada y de la orden de anotación de la condena en el registro central de penados; esta última pretensión se justifica en el hecho de que la demandante ha formalizado un contrato de trabajo como docente en prácticas para el curso académico 2018-2019, que viene ya desarrollando en Estados Unidos desde el pasado mes de agosto, actividad que pudiera verse afectada en su ejecución por la anotación de condena cuya suspensión se solicita. De forma subsidiaria, su pretensión queda reducida a la suspensión de la anotación de condena, solicitando únicamente se deje sin efecto la inscripción ya realizada. Mediante nuevo escrito, registrado el 28 de noviembre de 2018, la representación procesal de la demandante expresa que ha satisfecho el pago de la multa impuesta y de la responsabilidad civil declarada en sentencia mediante transferencia realizada el pasado 20 de noviembre, aunque dicho pago al Juzgado ha sido devuelto a la cuenta del padre de la demandante, desde la que se hizo efectivo. Afirma, no obstante, que ha hecho ese mismo ingreso en la cuenta de depósitos y consignaciones judiciales, en favor del Juzgado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el 21 de noviembre de 2018, el representante del Ministerio Fiscal ante este Tribunal, tras exponer la doctrina constitucional derivada de la aplicación del artículo 56 LOTC, conforme a la cual la suspensión de resoluciones judiciales o de los actos de los poderes públicos es una medida provisional de carácter excepcional y restrictivo, de lo que deriva como regla general la de no suspensión de los actos o resoluciones cuestionados en amparo, interesa en este caso la estimación de la pretensión principal de suspensión que ha sido formulada, esto es, de todos los pronunciamientos pecuniarios de condena de la sentencia impugnada y de su anotación en el registro central de penados. Tal pretensión viene justificada en la consideración de que “concurren en el presente caso circunstancias que han de permitir excepcionar dicha regla general”, dado que “resulta en esta hipótesis, prima facie, que la demandante de amparo no es tanto responsable penal de un delito de estafa como víctima de otros delitos cometidos sobre ella por terceras personas (por la sustracción de sus pertenencias, por la alteración de su DNI, por la suplantación de su personalidad en la apertura de distintas cuentas bancarias, etc.). Lo cual ha provocado que haya tenido que soportar innumerables, inmerecidas e injustas molestias y preocupaciones —al menos tantas como las resultantes de tener o haber tenido hasta treinta procedimientos judiciales abiertos—, ante las cuales no se puede permanecer impasible, lo que de modo necesario ha de obligar a no dar a su petición de suspensión el mismo tratamiento que se daría a una petición de igual naturaleza formulada por una persona que, también prima facie, apareciera como verdaderamente responsable de uno o varios delitos. De modo que en el presente caso no podrá ser aplicada la regla general, anteriormente mencionada, relativa a los supuestos de condenas de efectos meramente patrimoniales, pues ello supondría agravar la ya de por sí grave victimización sufrida por la demandante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artículo 56.2 de la Ley Orgánica del Tribunal Constitucional (LOTC) que la Sala que conozca de un recurso de amparo únicamente suspenderá la ejecución del acto de los poderes públicos por razón del cual se reclame el amparo constitucional “cuando la ejecución hubiere de ocasionar un perjuicio al recurrente que haría perder al amparo su finalidad”; previéndose en el segundo inciso de este mismo precepto que la suspensión, no obstante, podrá denegarse cuando de aquélla “pueda seguirse perturbación grave a un interés constitucionalmente protegido,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de este Tribunal, en el reciente Auto 55/2018, de 22 de mayo ha tenido oportunidad de recordar que la Ley Orgánica del Tribunal Constitucional establece como principio general que “la interposición del recurso de amparo no suspenderá los efectos del acto o sentencia impugnados” (art. 56.1), lo cual es consecuencia de la presunción de legitimidad que alcanza a todas las actuaciones de los poderes públicos, presunción que es inherente a la entera actividad pública, ya sea legislativa, ejecutiva o judicial (por todos, ATC 117/2015, de 6 de julio). Así, hemos reiterado que este carácter restrictivo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artículo 117.3 CE (en este sentido, entre otros muchos, se pronuncian los AATC 2/2001, de 15 de enero; 4/2006, de 16 de enero, y 127/2010, de 4 de octubre). La regla general es, por tanto, que no procede la suspensión de los efectos de los actos o resoluciones judiciales impugnadas, en particular, en lo que hace a estas últimas, porque tal suspensión acarrea la perturbación de la función jurisdiccional, y supone una injerencia de la jurisdicción constitucional en las decisiones adoptadas por la jurisdicción ordinaria que, pese a poder estar justificada, ha de ser abordada con suma cautela, caso a caso, para evitar que este Tribunal desempeñe funciones que le están constitucionalmente vedadas, por ser propias de la jurisdicción ordinaria (ATC 38/2018, de 22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adopción de esta medida cautelar resulta pertinente solo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en el caso de una sentencia estimatoria, sea tardío e impida definitivamente que la restauración sea efectiva (entre otros muchos, ATC 198/2006, de 19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salvo que por su montante excepcional, o la situación patrimonial del demandante, pueda justificarse la adopción de la medida cautelar pretendida (ATC 148/2006, de 8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la pena impuesta tiene contenido patrimonial —noventa días de multa a razón de 10 € por día—, sin que la demandante haya puesto de manifiesto ni acreditado circunstancias específicas que permitan sustentar un perjuicio irreparable en caso de hacer efectiva la obligación de abono; de hecho, en su reciente escrito ampliando las alegaciones en esta pieza separada, indica que ya ha satisfecho su importe y el de la responsabilidad civil. Esta conclusión, conforme con una reiterada doctrina, no encuentra justificación suficiente para ser excepcionada en las alegaciones del Ministerio Fiscal, que aboga por la suspensión de todos los pronunciamientos de la sentencia cuestionada apoyándose en un juicio fáctico sobre la conducta de la recurrente que no tiene reflejo en las sentencias cuestionadas, sino en la subjetiva valoración de la verosimilitud de su queja.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justificada, la pretensión formulada por el Ministerio Fiscal no puede ser atendida. La perspectiva única que ha de ser tenida en cuenta para decidir sobre cualquier pretensión cautelar formulada en el proceso de amparo ha de ser la de la preservación de la eficacia de un posible pronunciamiento estimatorio, sin prejuzgar cuál haya de ser el sentido de la futura resolución que le ponga fin (por todos, AATC 64/1990, de 30 de enero, y 319/2003, de 13 de octubre). En tal medida, “no procede en este incidente examinar ni la concurrencia ni la ausencia de apariencia de buen derecho” de la pretensión de amparo formulada, criterio éste del que no se vale la regulación del artículo 56 LOTC para conceder o denegar la protección cautelar pretendida (AATC 258/1996, de 24 de septiembre, y 187/2003, de 2 de junio). Por ello, hemos reiterado también que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Distinta ha de ser la respuesta que debe recibir la petición de suspensión de la anotación de condena en el Registro central de penados pues, como se ha justificado en las alegaciones con la aportación documental precisa, su vigencia pudiera tener efectos perjudiciales sobre la actividad docente que viene desarrollando la recurrente y, por el contrario, no cabe prever que la suspensión temporal de dicha anotación suponga la perturbación de la función jurisdiccional ni una injerencia de la jurisdicción constitucional en las decisiones adoptadas por la jurisdicción ordinaria, por cuanto dicha anotación será mantenida o levantada en función del sentido de la decisión de fondo que se pronuncie sobre la presente pretensión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petición de suspensión solicitada de la pena de dos meses multa, con cuota diaria de 10 €, así como de la condena al pago de la responsabilidad civil derivada del delito, impuestas en Sentencia núm. 105/2017, de 12 de diciembre del Juzgado de Instrucción núm. 35 de Jaén (juicio por delito leve núm. 79-2017), en tanto se tramita el presente recurso de amparo núm. 4344-2018.</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Acordar la suspensión parcial de la ejecución de la citada Sentencia en cuanto ordena su anotación en el Registro central de penados, a cuyo efecto, deberá el Juzgado de Instrucción librar las órdenes oportunas para dejar sin efecto dicha inscripción hasta la resolución del presente proceso constitucional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