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14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4403-2017, interpuesto por el presidente del Gobierno contra el artículo 3; los apartados 1 a 4 del artículo 5; los artículos 20 y 24; el inciso final de la disposición adicional primera; la disposición adicional quinta y las disposiciones transitorias segunda y tercera de la Ley 10/2016, de 1 de diciembre, de medidas de emergencia en relación con las prestaciones económicas del sistema público de servicios sociales y con el acceso a la vivienda en la Comunidad Autónoma de Aragón. Han comparecido y formulado alegaciones las Cortes y el Gobierno de Aragón.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septiembre de 2017, el presidente del Gobierno interpuso recurso de inconstitucionalidad en relación con el artículo 3, los apartados 1 a 4 del artículo 5, los artículos 20 y 24, el inciso final de la disposición adicional primera, la disposición adicional quinta y las disposiciones transitorias segunda y tercera de la Ley 10/2016, de 1 de diciembre, de medidas de emergencia en relación con las prestaciones económicas del sistema público de servicios sociales y con el acceso a la vivienda en la Comunidad Autónoma de Aragón (en adelante, Ley 10/2016). En el recurso se invocaron los artículos 161.2 CE y 30 de la Ley Orgánica del Tribunal Constitucional (LOTC), con objeto de instar la suspensión de la aplicación, exclusivamente, de los artículos 20 y 24 y de la disposición transitoria segunda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al cumplimiento de los requisitos procesales, el escrito comienza señalando que la ley objeto del recurso puede incluirse, aunque con características que la singularizan, en la serie de normas autonómicas que han establecido medidas tendentes a afrontar el problema de la vivienda y que han sido impugnadas por el Gobierno de la Nación: Decreto-ley de la Junta de Andalucía 6/2013, de 9 de abril; Ley Foral de Navarra 24/2013, de 2 de julio; Ley de Andalucía 4/2013, de 1 de octubre; Ley de Canarias 2/2014, de 20 de junio; Ley del País Vasco 3/2015, de 18 de junio; Ley de Cataluña 24/2015, de 29 de julio, y Ley de Murcia 10/2016, de 7 de junio. Cita en particular el Decreto-ley 3/2015, de 15 de diciembre, del Gobierno de Aragón, de medidas urgentes de emergencia social en materia de prestaciones económicas de carácter social, pobreza energética y acceso a la vivienda, que está en el origen de la Ley 10/2016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las actuaciones estatales dirigidas a afrontar el problema de la vivienda y la reestructuración inmobiliaria y financiera, afirmando que desde 2012 se han venido adoptando por el Estado medidas destinadas a cumplir con el objetivo perseguido por la norma autonómica y que permiten alternativas de actuación proporcionadas, sin incurrir en las extralimitaciones competenciales que fundamentan el presente recurso. En concreto, se citan el Real Decreto-ley 6/2012, de 9 de marzo, de medidas urgentes de protección de deudores hipotecarios sin recursos; el Real Decreto 27/2012, de 15 de noviembre, de medidas urgentes para reforzar la protección a los deudores hipotecarios; la Ley 1/2013, de 14 de mayo, de medidas para reforzar la protección a los deudores hipotecarios, reestructuración de la deuda y alquiler social; también, el Plan estatal de fomento del alquiler de viviendas, la rehabilitación edificatoria, la regeneración y renovación urbanas 2013-2016, aprobado por Real Decreto 233/2013, de 5 de abril y el Real Decreto-ley 9/2015, de 10 de julio, de medidas para reducir la carga tributaria soportada por los contribuyentes del impuesto sobre la renta de las personas físicas y otras medidas de carácter económico, en cuyo artículo 4 se declaran parcialmente inembargables determinadas ayudas y prestaciones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normativa ha sido tenida especialmente en cuenta en la STC 93/2015, de 14 de mayo, para enjuiciar el Decreto-ley de la Junta de Andalucía 6/2013, de 9 de abril, cuya doctrina, entiende el abogado del Estado, es trasladable a este caso. El representante estatal cita también el Real Decreto-ley 1/2015, de 27 de febrero y la posterior Ley 25/2015, de 28 de julio, de mecanismo de segunda oportunidad, reducción de la carga financiera y otras medidas de orden social, que contienen mejoras adicionales a las previamente adoptadas. Igualmente, según refiere, ha de tenerse en cuenta la modificación del convenio del fondo social de vivienda, realizada el 14 de septiembre de 2015, que amplió el número de viviendas destinadas a alquiler social y el colectivo que puede acceder a ellas, cuya vigencia se ha prorrogado hasta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ley impugnada menoscaba las competencias estatales del artículo 149.1, apartados 11 y 13 CE, impidiendo la eficacia de las medidas adoptadas por el Estado en las normas citadas, en los términos señalados en la STC 93/2015, de 14 de mayo. Se alega también la vulneración de las competencias del Estado, derivadas del artículo 149.1, apartados 1, 6 y 8, CE. En concreto, y en lo que respecta a los preceptos impugnados, argumenta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3, al disponer que las prestaciones económicas del sistema público de servicios sociales de Aragón no tienen la consideración de subvenciones públicas, vulnera las competencias estatales contenidas en las reglas 13, 14 y 18 del artículo 149.1 CE. Recuerda que, con fundamento en tales títulos competenciales se ha aprobado la Ley 38/2003, de 17 de noviembre, general de subvenciones, cuyo artículo 2 preceptúa que se entiende por subvención “toda disposición dineraria realizada por cualesquiera de los sujetos contemplados en el artículo 3 de esta ley [administración del Estado, de las comunidades autónomas y de las entidades locales], a favor de personas públicas o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subvenciones tiene carácter básico (disposición final primera) y no cabe que las Comunidades Autónomas, al regular determinadas subvenciones en ejercicio de sus competencias, eludan aplicarles el régimen jurídico que les es propio por la vía de excluirlas de dicho concepto. Cita la STC 130/2013, de 4 de junio, que resolvió el recurso interpuesto por el Gobierno de Aragón contra diversos preceptos de la citada Ley 38/2003, cuyos artículos 2 y 3 definen el ámbito objetivo y subjetivo de aplicación que las Comunidades Autónomas no pueden modificar.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5 (que reproduce el artículo 1 del Decreto-ley 3/2015) y, en conexión con el mismo, la disposición adicional primera (inciso final) y la disposición transitoria tercera, en cuanto disponen la inembargabilidad de las prestaciones económicas establecidas por la Comunidad y las entidades locales aragonesas para colectivos en riesgo de exclusión social, vulneran la competencia estatal exclusiva en materia de legislación procesal (art. 149.1.6 CE), por cuya virtud corresponde al Estado la determinación de los bienes que tienen la consideración de inembargables, tanto en los procedimientos judiciales como administrativos. La ley autonómica no conecta su regulación con las particularidades del derecho sustantivo aragonés, ya sea civil o administrativo. Por su parte, la disposición transitoria tercera debe ser declarada inconstitucional y nula por establecer el régimen de aplicación del artículo 5 con carácter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los bienes inembargables se encuentra regulada, de modo general, en los artículos 605, 606 y 607 de la Ley 1/2000, de 7 de enero, de enjuiciamiento civil, norma dictada al amparo del mencionado artículo 149.1.6 CE, que exige un régimen uniforme en toda España. Si bien es cierto que los artículos 605.4 y 606.4 prevén que una ley pueda ampliar la relación de los bienes inembargables, esta ley ha de ser forzosamente estatal, dictada al amparo de la citada competencia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20 introduce un supuesto especial de suspensión automática e incondicionada del lanzamiento en los procesos de ejecución hipotecaria, distinta de la prevista en la legislación estatal y sin conexión alguna con el derecho sustantivo aragonés, sea administrativo o foral. Se completa con la norma de aplicación temporal de esta medida, prevista en la disposición transitoria segunda, que se impugna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medida proviene del artículo 9 del Decreto-ley 3/2015, aunque ahora amplía su ámbito al extenderlo, también, a la suspensión de los procedimientos de desahucio. Se trata de una especialidad de naturaleza procesal que altera el régimen comúnmente aplicable en todo el territorio nacional. No concurren particularidades de derecho sustantivo aragonés que justifiquen un régimen propio y singular de suspensión de determinados lanzamientos no previstos en la normativa estatal. Por plausible que pueda ser el objetivo perseguido, no es “singular” en el sentido exigido por la doctrina constitucional sobre 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4 del artículo 20, que incluye un mandato a las Administraciones públicas aragonesas para no ejercer las facultades de desahucio sobre bienes de su titularidad, también debe declararse inconstitucional en la medida en que no excluye a las entidades locales, a las que no cabe imponer esta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infracción del artículo 149.1.6 CE, añade la del artículo 149.1.13 CE, por cuanto se afecta a las medidas estatales adoptadas sobre esta misma materia. Así lo vino a declarar la STC 93/2015, en relación con las expropiaciones de uso de viviendas desocupadas, medida equiparable a la suspensión de tales lanzamientos.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de la citada Sentencia, cabe inferir que, en aquellos casos en que las medidas adoptadas por una Comunidad Autónoma en el ejercicio de sus competencias, puedan interferir en el normal desenvolvimiento de las que, al amparo del artículo 149.1.13 CE, apruebe el Estado, comprometiendo su virtualidad práctica, se produce una injerencia en la competencia estatal que es contraria al orden constitucional de distribución de competencias; y, en el presente caso, la medida autonómica de suspensión de lanzamientos dificulta o perturba la efectividad de los mecanismos arbitrados por el Estado para la regulación del sistema de ejecución hipotecaria; en concreto, los previstos en el artículo 1 y la disposición adicional primera de la Ley 1/2013, antes citada, en la redacción dada por el Real Decreto-ley 1/2015, de 27 de febrero. Y aunque la previsión en la materia se establece en el apartado 1 del artículo 20, el resto de los apartados, en la medida en que son instrumentales para la ejecución de la suspensión de lanzamientos, deben ser declarados inconstitucionales y nulos por conexión, lo que también sucede con la disposición transitoria segunda, que fija el momento de entrada en vigor de esta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atañe al artículo 24, que, según destaca, es prácticamente idéntico al artículo 12 del Decreto-ley 3/2015, el abogado del Estado señala que el deber de cesión de viviendas que se impone en el mismo conlleva, en primer lugar, una infracción del artículo 149.1.1 en relación con el artículo 33 CE, en cuanto que la cesión obligatoria de viviendas constituye una transferencia coactiva y temporal de la titularidad de la vivienda, que incide en el contenido esencial del derecho de propiedad reconocido por el artículo 33.1 CE. De acuerdo con la jurisprudencia constitucional, la competencia para regular las diversas manifestaciones de la función social del derecho de propiedad contemplada en el artículo 33.2 CE, en tanto afecten a su contenido esencial, corresponde al Estado, de acuerdo con el artículo 149.1.1 CE, a fin de que la regulación del mismo sea uniforme en todo el territorio nacional [STC 61/1997, de 20 de marzo, FJ 10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precepto vulnera también el artículo 33, en relación con los artículos 53.1 y 9.3 CE, que establecen el principio de reserva de ley. El apartado tercero del artículo 24 dispone, en concreto, que la determinación de la contraprestación que percibirá el titular de la vivienda desocupada, a quien se impone la obligación de su puesta a disposición de la Comunidad Autónoma, se efectuará a través de una norma con rango de orden, lo que infringe el principio de reserva de ley que establece el artículo 9.3 CE, al señalar, tanto el artículo 33 como el artículo 53.1 CE, que el elemento indemnizatorio ha de quedar configurado a través de una norma con rango de ley. Recuerda, asimismo, el abogado del Estado que, de conformidad con la STC 61/1997, de 20 de marzo, la fijación de las normas de valoración urbanística, a efectos expropiatorios, constituye una competencia estatal, lo cual determina que no se pueda, a través de una orden de un Consejero autonómico, proceder a la fijación de una renta, cuya validez o conceptuación sea la del elemento indemnizatorio para la puesta a disposición obligatoria de la vivienda, al margen de los criterios de valoración fijados por el Estado en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estatal añade que la privación de una facultad integrante del poder de disposición que comporta el concepto de propiedad, privación que queda vinculada al concepto indemnizatorio, no deja de participar de la naturaleza de un procedimiento expropiatorio, el cual se integra en el ámbito de la competencia estatal del artículo 149.1.18 CE, que ha sido ejercida a través de la Ley de expropiación forzosa de 16 de diciembre de 1954. Considera también que la cesión obligatoria tiene un carácter civil, por lo que se vulnera la competencia exclusiva del Estado del artículo 149.1.8 CE, sin que se aprecie, ni en su contenido ni en el contexto, la vinculación de esta medida con el Derecho foral aragonés.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argumentando que la medida adoptada en el artículo 24 impugnado vulnera el principio de proporcionalidad, en cuanto que no presenta ventajas que pudieran ser moduladas por otras alternativas posibles y contempladas en la propia ley, como la provisión por la propia Diputación General de Aragón de viviendas de alquiler social para las personas en especiales circunstancias de emergencia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asimismo, que el precepto infringe las competencias estatales en materia de ordenación general de la economía y del crédito, en los términos contemplados en la STC 93/2015, en cuanto deteriora el valor de los activos adjudicados a las entidades financieras, pues los compradores exigirán precios más competitivos, si la entidad puede perder las viviendas, lo que actuará en perjuicio de la situación financiera de las entidades afectadas por la reestructuración. Esto produce una interferencia en las medidas adoptadas por el Estado al amparo del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en relación a la disposición adicional quinta, que proviene de la disposición adicional cuarta del Decreto-ley 3/2015, el abogado del Estado sostiene que altera el régimen jurídico establecido por el Estado, al exigir que las medidas del código de buenas prácticas se desarrollen dentro del sistema de mediación hipotecaria implantado por la Comunidad Autónoma de Aragón, menoscabando con ello la competencia atribuida al Estado por el artículo 149.1.13 CE, por lo que resulta de aplicación lo señalado en la STC 93/2015, que declaró inconstitucional y nula una norma similar. Las entidades de crédito se adhieren al citado código voluntariamente, asumiendo un régimen jurídico determinado, por lo que toda modificación de esta naturaleza supone una alteración de las reglas del acuerdo y la necesidad de volver a contar con la adhesión de estas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concluye afirmando que las disposiciones impugnadas producen un impacto global en las competencias estatales en materia económica, por cuanto suponen un deterioro de la posición financiera de las entidades de crédito y otras de similar naturaleza, en tanto que implican, bien un coste directo, bien un menor valor de determinadas partidas en sus balances. Por las razones expuestas, solicita que se dicte sentencia por la que, con estimación del recurso, se declare la inconstitucionalidad y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 de octubre de 2017, el Pleno de este Tribunal, a propuesta de la Sección Cuarta, acordó admitir a trámite el presente recurso de inconstitucionalidad y dar traslado de la demanda y documentos presentados, conforme al artículo 34 LOTC, al Congreso de los Diputados, al Senado, a la Diputación General y a las Cortes de Aragón, por conducto de sus Presidentes, al objeto de que, en el plazo de quince días, pudieran personarse en el proceso y formular alegaciones. Asimismo, se tuvo por invocado por el presidente del Gobierno el artículo 161.2 LOTC, lo que, a su tenor y conforme dispone el artículo 30 LOTC, produce la suspensión de la vigencia y aplicación exclusivamente de los preceptos citados en el escrito de interposición, esto es de los artículos  20 y 24, así como de la disposición transitoria segunda de la Ley de las Cortes de Aragón 10/2016, de 1 de diciembre, desde la fecha de interposición del recurso —12 de septiembre de 2017— para las partes del proceso y desde el día en que apareciera publicada la suspensión en el “Boletín Oficial del Estado” para los terceros, lo que se comunicó a los Presidentes de la Diputación General de Aragón y de las Cortes de Aragón. Por último, también se ordenó publicar la incoación del recurso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Presidenta del Congreso de los Diputados, mediante escrito registrado el día 19 de octubre de 2017, comunicó que la mesa de la Cámara, en su reunión del 17 de octubre anterior, había acordado la personación en este procedimiento al tiempo que daba por ofrecida su colaboración a los efectos del artículo 88.1 LOTC. Por escrito de la misma fecha, el Presidente del Senado se expresó en iguales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el día 19 de octubre de 2017 presentó su escrito de personación la Letrada de las Cortes de Aragón, solicitando una prórroga del plazo otorgado para formalizar el escrito de alegaciones. Por providencia de 23 de octubre siguiente, el Pleno acordó incorporar a las actuaciones el escrito presentado y prorrogar el plazo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fecha 2 de noviembre de 2017, la Letrada de la Comunidad Autónoma de Aragón se personó y solicitó una prórroga del plazo otorgado para formular alegaciones. Por providencia de 6 de noviembre siguiente, el Pleno acordó incorporar a las actuaciones el escrito presentado y prorrogar el plazo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14 de noviembre de 2017, la Letrada de las Cortes de Aragón presentó sus alegaciones solicitando la desestimación del recurso de inconstitucionalidad. Los argumentos que esgrime para ello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prestaciones sociales de las Administraciones públicas de Aragón excluidas del concepto de subvención, aduce que, de la misma forma que el artículo 2.4 de la Ley 38/2003, de 17 de noviembre, general de subvenciones, excluye ciertas prestaciones sociales abonadas por el Estado, también la Comunidad puede hacer lo propio respecto de las que son de su competencia. Alega, en concreto, que la ley estatal excluye las prestaciones contributivas y no contributivas del sistema de la Seguridad Social; las pensiones asistenciales por ancianidad a favor de los españoles no residentes en España; las prestaciones asistenciales y los subsidios económicos a favor de españoles no residentes en España; las prestaciones a favor de los afectados por determinadas enfermedades; las prestaciones derivadas del sistema de clases pasivas,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alega esta parte que la razón subyacente a dicha exclusión es, según la exposición de motivos de la Ley 38/2003, que tales prestaciones tienen un régimen jurídico propio, lo que también se puede predicar de las prestaciones económicas del sistema público de servicios sociales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prestaciones económicas que declara inembargables el artículo 5 de la Ley 10/2016 han sido establecidas por la Comunidad Autónoma al amparo de sus competencias exclusivas en materia de acción social (art. 71.34 EAAr) y no constituyen una novedad en el ordenamiento aragonés, pues en su momento ya se declaró el carácter inembargable del ingreso aragonés de inserción (art. 5 del Decreto 57/1994, de 23 de marzo), sin que tal iniciativa normativa diera lugar 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propia Ley de enjuiciamiento civil (LEC), en su artículo 606.4, permite que la enumeración de bienes inembargables se complete en otras leyes, no debiendo existir impedimento alguno en que éstas puedan ser autonómicas, en la medida en que venga exigido por su conexión con el derecho sustantivo de la Comunidad. En el presente caso, las Cortes de Aragón han valorado que el mero establecimiento de determinadas ayudas en materia de acción social no es suficiente, si no se garantiza que tales cantidades queden efectivamente en poder de sus destinatarios y sean excluidas de eventuales procedimientos de embargo. Con ello, se cumplen los requisitos constitucionales de que la regulación procesal sea necesaria y derive de las particularidades del derecho propio aragonés, consistentes en la implementación de las ayudas para hacer frente a situaciones de desprotección social con unos mínimos de efectividad. El Estado incluyó en su Real Decreto-ley 9/2015, de 10 de julio, unas categorías de retribuciones económicas equivalentes a los sueldos y pensiones, a los efectos del artículo 607 LEC, no debiendo existir ningún inconveniente en que su propia legislación concrete dichas categorías generales, como hace la ley impugnada. El precepto puede ser interpretado de conformidad con la Constitución por lo que no merece reproche de inconstitucionalidad, como tampoco lo merece la disposición transitoria tercera, que se limita a señalar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artículos 20 y 24 de la norma aragonesa se enmarcan en el ámbito de las competencias autonómicas exclusivas en materia de vivienda (art. 71.10 EAAr), cuyo ejercicio está condicionado por lo dispuesto en el artículo 47 CE, que enuncia, tanto un derecho subjetivo como un principio rector de la actuación de los poderes públicos, y que configura un mandato dirigido a todos ellos para hacer efectivo el derecho a una vivienda digna, correspondiendo a la autoridad autonómica de que se trate, dentro de su libertad de configuración, escoger las medidas o mecanismos que considere más apropiados para garantizar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en relación con el artículo 20, se señala que las medidas de protección de los deudores hipotecarios aplicadas por el Estado no han sido suficientes para paliar situaciones de vulnerabilidad y emergencia social, evidenciando la necesidad de una intervención complementaria de los poderes públicos autonómicos, también legitimados al amparo de sus competencias, para la imposición de límites al derecho de propiedad de la vivienda que, sin violentar su contenido esencial, permitan cumplir con su función social. El artículo 33.2 CE impone al legislador la tarea de delimitar en cada momento histórico el contenido del derecho de propiedad de acuerdo con su función social, función para la que también está habilitado el legislador autonómico cuando se ampare en un título competencial propio como es, en este caso, la competencia autonómica exclusiva en materia de vivienda. Y esa delimitación del derecho de propiedad de la vivienda guarda, además, conexión con lo dispuesto en el artículo 47 CE, que reconoce el derecho a una vivienda digna y reclama de los poderes públicos la promoción de las condiciones necesarias y el establecimiento de las normas pertinentes para hacerlo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este fundamento, la norma introduce la suspensión de los lanzamientos hasta que las personas afectadas puedan acceder a las viviendas que la Administración ponga a su disposición; se cumple, pues, el parámetro de constitucionalidad de las especialidades procesales que una Comunidad Autónoma puede introducir en la legislación de este carácter aprobada por el Estado, como es que aquéllas resulten necesarias y que deriven de las particularidades del derecho propio de la Comunidad, por lo que no se invade la competencia estatal del artículo 149.1.6 CE, ni lo hace tampoco la disposición transitoria segunda, cuya inconstitucionalidad solo se sostiene por conexión con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artículo 24, se aduce que el único límite que el artículo 33 CE impone al legislador, cuando pretenda dar cumplimiento al mandato constitucional previsto en el artículo 47 CE, es que no opere una desnaturalización del mismo, ni sobrepase las barreras más allá de las cuales el derecho dominical y las facultades que le son propias dejarían de ser recognoscibles.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suerte, el artículo 149.1.1 CE no faculta al Estado para definir el contenido esencial de los derechos, ni para imponer una identidad de situaciones jurídicas de todos los ciudadanos en cualquier parte del territorio del Estado, sino para fijar una identidad sustancial de condiciones básicas en el ejercicio de los derechos constitucionales. El Estado no ha hecho uso de esa competencia en el ámbito material del derecho de propiedad de la vivienda, por lo que, ante una falta de ejercicio de tal competencia estatal, la libertad de configuración del legislador sectorial autonómico es más amplia. Por ello, la Comunidad Autónoma no ha vulnerado una competencia no ejercida y unas condiciones estatales que no existen, sino que se ha limitado a ejercitar su competencia en materia de vivienda, para tratar de garantizar su disfrute por personas o unidades de convivencia en situación de vulnerabilidad.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tampoco comparte el argumento de que la imposición de la cesión de viviendas vacías atente contra el contenido esencial del derecho de propiedad (art. 33.1 CE), pues no se produce, como afirma el abogado del Estado, una transferencia coactiva y temporal de la titularidad de la vivienda, dado que lo que determinan los preceptos impugnados es la puesta a disposición de las viviendas a favor de la Administración para que sea esta la que elija los inquilinos, quedando no obstante inalterada la titularidad de la vivienda, que seguirá correspondiendo a las entidades financieras o sociedades inmobiliarias bajo su control, o a la Sociedad de Gestión de Activos Procedentes de la Reestructuración Bancaria, perdiendo, eso sí, la capacidad para decidir a quiénes arriendan sus viviendas, capacidad que ejerce por sustitución la Administración, pero recibiendo la correspondiente contraprestación.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de Aragón rechaza, asimismo, la alegada vulneración de la competencia estatal en materia de legislación civil (art. 149.1.8 CE), por estimar que la ley no está operando una delimitación del derecho de la propiedad desde una perspectiva civil, sino desde el derecho público, al amparo de su competencia exclusiva en materia de vivienda. Y se considera que el artículo 24 no incumple los principios constitucionales de proporcionalidad y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primero, porque la medida contemplada supera el test de proporcionalidad en cuanto que es idónea a la finalidad perseguida, la de dar solución a situaciones de vulnerabilidad en las que se encuentran las personas que no pueden hacer frente al pago de sus cuotas hipotecarias en un contexto económico y social muy adverso, favoreciendo el ejercicio del derecho constitucional a una vivienda digna, a partir de la existencia de un parque importante de viviendas vacías existentes en Aragón; es una medida necesaria puesto que las arbitradas por el Estado han demostrado no ser suficientes para dicha finalidad. Y, además, supera el juicio de proporcionalidad en sentido estricto, por cuanto debe prevalecer la defensa del interés general, derivado de la contribución a la efectividad del derecho a la vivienda, frente a la concepción de la propiedad, como derecho absoluto del propietario, a mantener vacías las viviendas de las que es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principio de igualdad, se considera que el trato diferenciado que otorga la ley autonómica, en función de quien sea el propietario de la vivienda, afecta a sujetos distintos, por lo que, al no darse la identidad de supuestos fácticos que son objeto de comparación, no se incurre en discriminación, ni por ello se vulnera 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juicio de la Letrada del parlamento autonómico, la disposición adicional quinta se limita a introducir una especialidad procesal que deriva del derecho sustantivo autonómico, consistente en incluir la aplicación del código de buenas prácticas, regulado por la normativa estatal, en el sistema de mediación hipotecaria de la Administración autonómica, moviéndose dentro de los márgenes que le permite su competencia ex artículo 72.3 EAAr. La particularidad procesal consiste en imponer la figura de un mediador derivado de su existencia en el derecho aragonés sustantivo, pero en nada más se alteran las medidas dispuestas en el código, ni se prejuzga el resultado de la negociación, como tampoco se impone un resultado a ninguna de las partes, por lo que se entiende correctamente ejercida la competencia autonómica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concluye descartando la potencialidad dañosa de la ley para el conjunto del sistema financiero que le imputa el abogado del Estado, que no se ha confirmado durante el tiempo en que ha estado en vigor antes de la interposición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escrito registrado en este Tribunal el día 21 de noviembre de 2017, la Letrada del Gobierno de Aragón presentó sus alegaciones solicitando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exposición señalando que las actuaciones y medidas estatales adoptadas desde el año 2012 por el Estado, dirigidas a afrontar el problema de la vivienda, resultan compatibles con las medidas que, en el ámbito de sus competencias, ha adoptado la Comunidad Autónoma, ya que todas ellas responden al mandato dirigido a los poderes públicos de promover las condiciones necesarias para hacer efectivo el derecho a una vivienda digna (art. 47 CE). En relación con los concretos preceptos impugnados,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atinente al artículo 3, referido a la naturaleza de las prestaciones económicas del sistema público de servicios sociales, argumenta que el carácter básico de una gran parte de la Ley 38/2003, de 17 de noviembre, general de subvenciones, no impide el ejercicio de las competencias por la Comunidad Autónoma, estableciendo un régimen propio, dentro del respeto a las bases. Invoca, entre otras, las SSTC 98/2004, de 25 de mayo; 130/2013, de 4 de junio y 100/2017, de 20 de julio, según las cuales las bases no pueden cercenar las competencias autonómicas, agotando la regulación de la materia. Con apoyo en este planteamiento, sostiene que la Comunidad Autónoma sí puede delimitar conceptualmente un determinado tipo de prestaciones públicas en sentido negativo, como algo distinto a las subvenciones públicas, siempre que lo haga dentro del marco constitucional y con respeto a las bases. Considera que el recurso no justifica por qué entiende que la norma autonómica vulnera los artículos 2, 3 y 6 de la Ley 38/2003,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5 y el último inciso de la disposición adicional primera encuentran amparo en las competencias exclusivas de la Comunidad de Aragón sobre el derecho procesal derivado de las particularidades del derecho sustantivo de Aragón (art. 71.3 EAAr), y en materia de acción social (art. 71.14 EAAr). La declaración de inembargabilidad que efectúa dicho precepto se contrae a determinadas prestaciones económicas de carácter social y finalista, que son concedidas por la Comunidad Autónoma en el ejercicio de sus competencias en materia de acción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también, que los artículos 605 y 606 LEC contemplan la posible ampliación de los supuestos de inembargabilidad, con sustento en la cláusula de remisión a lo que disponga una “disposición legal” o una “ley”, sin que quepa afirmar que la misma haya de ser forzosamente estatal, debiendo ser la que se asuma por el titular de la competencia, de acuerdo con el régimen constitucional de distribución de competencias. La medida adoptada no modifica el régimen de la Ley de enjuiciamiento civil y tiene un carácter meramente instrumental de la legislación autonómica, por lo que no puede contemplarse de forma aislada, como un nuevo supuesto de bienes o cantidades inembargables.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artículo 20 y la disposición transitoria segunda, la Letrada afirma que no vulnera el artículo 149.1.6 CE, por cuanto la ley no introduce ex novo un instrumento procesal, sino que acoge el mecanismo de suspensión de lanzamientos ya adoptado por la legislación estatal (Real Decreto-ley 27/2012, de 15 de noviembre; Ley 1/2013, de 14 de mayo; Real Decreto-ley 1/2015, de 27 de febrero, y Ley 25/2015, de 28 de julio), en cuya virtud, dicha suspensión rige desde el año 2012, prorrogándose sucesivamente.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93/2015, de 14 de mayo, al referirse al régimen estatal de suspensión de lanzamientos y a la constitución de un fondo social de viviendas de propiedad de las entidades de crédito, pone de manifiesto la compatibilidad de dicho régimen con un adecuado funcionamiento del sistema hipotecario con la ley autonómica, que recoge la misma técnica y con idéntico objetivo, si bien matizando que la suspensión de lanzamientos se establece “hasta que se ofrezca una alternativa habitacional por parte de la Administración”; previsión que no interfiere en el normal desenvolvimiento y efectividad de los mecanismos arbitrados por el Estado, sino que, por el contrario, supone un refuerzo para garantizar su cumplimiento, pues puede contribuir a la reducción del tiempo de suspensión de los lanzamientos, como consecuencia del ofrecimiento de una alternativa habitacional por la Administración. Por tanto, la regulación impugnada no puede ser tachada de inconstitucional por vulneración de los artículos 149.1.11 y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Señala, a continuación, que el artículo 24 no altera el contenido esencial del derecho de propiedad que recae sobre la vivienda, pues no queda este desnaturalizado por su destino a arrendamiento (o título similar), ya que el carácter forzoso o ex lege del arrendamiento se prescribe únicamente en situaciones excepcionales de desocupación de viviendas y no supone un vaciamiento de aquel contenido esencial, que lo convierta en inexistente o puramente nominal, sino que lo que hace es establecer una limitación de la utilidad económica del bien, en términos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esencial del derecho de propiedad (art. 33 CE) opera como garantía, constituyendo un límite que debe ser respetado por el legislador competente para regular tal derecho; y la competencia estatal exclusiva prevista en el artículo 149.1.1 CE contiene una habilitación al Estado para establecer condiciones básicas, pero no delimita un ámbito material excluyente a la intervención de las Comunidades Autónomas. En este contexto, la previsión contenida en el Decreto-ley impugnado incide en el derecho a la propiedad privada de determinadas viviendas, delimitado por la función social de garantizar el derecho a la vivienda de ciertos sectores de la sociedad en riesgo de exclusión social; ello implica que acota el derecho de propiedad por razón de su función social, en ejercicio de la competencia exclusiva autonómica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invocada vulneración del artículo 33 CE, en relación con los artículos 53.1 y 9.3, relativos al principio de reserva de ley, la Letrada señala que esta tesis tampoco puede ser acogida, ya que se fundamenta en la consideración de que la cesión de viviendas a la Comunidad Autónoma constituye una modalidad de expropiación forzosa, tesis que no se comparte, sino que puede considerarse como una “limitación de la utilidad económica del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asimismo, la infracción del artículo 149.1.8 CE, señalando que el contenido del derecho de propiedad privada conforme a su función social no forma parte del núcleo de la legislación civil, sino que se fija por la ley sectorial que vela por el interés público a que se vincula cada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afirmando que tampoco se vulnera el principio de proporcionalidad, por cuanto la causa que provoca la medida adoptada debe considerarse razonable, a la vista de las circunstancias sociales y económicas derivadas de la crisis generalizada.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Examina, por último, la impugnación dirigida a la disposición final quinta, respecto de la cual se considera que no innova ni establece un diferente procedimiento previo a la vía judicial, sino que se acomoda a lo establecido en la legislación estatal, dado que su finalidad es precisamente la aplicación del código de buenas prácticas, incrementando su eficacia, al posibilitar el apoyo de los mediadores del sistema público, que opera como garantía de los deudores con garantía hipotecaria sobre la vivienda habitual. Aunque la normativa estatal no contempla la intervención de un mediador, como tercero independiente de las partes, la ausencia de previsión al respecto no puede entenderse como prohibición que pueda obstaculizar o impedir la eficacia de la puesta en práctica del citado código y la nota de la voluntariedad no queda desdibujada por el hecho de que el proceso negociador entre las partes afectadas se desarrolle con el apoyo de los mediadores del sistema público, por lo que no se afecta la competencia estatal prevista en 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finaliza afirmando que no se justifica que las medidas adoptadas en la ley autonómica vayan a suponer un coste directo, un deterioro del valor de determinadas partidas en los balances de las entidades de crédito y de los inmuebles adjudicados a las mismas, ni tampoco un deterioro de la posición financiera de las entidades de crédito y otras de similar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diligencia de 22 de noviembre de 2017, el Pleno acordó, de una parte, incorporar a los autos los escritos de alegaciones formulados y, de otro lado, oír a las partes personadas —abogado del Estado, Gobierno y Cortes de Aragón— para que, en el plazo de cinco días, expusieran lo que estimaran procedente sobre el levantamiento o mantenimiento de la suspensión de los artículos 20, 24 y disposición transitoria segunda de la Ley 10/2016. La representación procesal de las Cortes de Aragón solicitó el levantamiento de la suspensión por medio de escrito registrado el día 29 de noviembre de 2017. Por su parte, el abogado del Estado interesó su mantenimiento, conforme a las alegaciones presentadas el día 30 de noviembre de 2017. La representación del Gobierno de Aragón no presentó alegaciones, según se hizo constar por diligencia de ordenación de 2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por ATC 12/2018, de 7 de febrero, acordó mantener la suspensión de los artículos 20 y 24, así como de la disposición transitoria segunda de la Ley 10/2016, de 1 de diciembre, de medidas de emergencia en relación con las prestaciones económicas del sistema público de servicios sociales y con el acceso a la vivienda en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en la representación que legalmente ostenta, y a través de escrito registrado en este Tribunal el día 23 de noviembre de 2018, formuló solicitud de desistimiento parcial de la impugnación dirigida contra el artículo 24 de la Ley 10/2016. En dicho escrito ha puesto de manifiesto que esta petición de desistimiento parcial resulta del acuerdo alcanzado en la comisión bilateral de cooperación Aragón-Estado de 19 de noviembre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secretaría de justicia del Pleno del Tribunal Constitucional, mediante diligencia de ordenación de 26 de noviembre de 2018, acordó incorporar a los autos el anterior escrito, así como oír a las representaciones legales del Gobierno de Aragón y de las Cortes de Aragón, para que, en el plazo de diez días, alegaran lo que estimaran procedente en relación a la solicitud de desistimiento parcial del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Letrada de las Cortes de Aragón, en la representación que legalmente ostenta, se mostró conforme con la anterior solicitud de desistimiento parcial por medio de escrito registrado el día 14 de diciembre de 2018. No se ha recibido escrito de contestación del Gobierno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12 de febrero de 2019,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El presente recurso de inconstitucionalidad se interpone por el presidente del Gobierno, contra el artículo 3; los apartados 1 a 4 del artículo 5 y, en conexión, el inciso final de la disposición adicional primera y la disposición transitoria tercera; los artículos 20, junto con la disposición transitoria segunda, y 24; y la disposición adicional quinta de la Ley 10/2016, de 1 de diciembre, de medidas de emergencia en relación con las prestaciones económicas del sistema público de servicios sociales y con el acceso a la vivienda en la Comunidad Autónoma de Aragón (en lo sucesivo, la Ley 10/2016).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abogado del Estado ha formulado solicitud de desistimiento parcial, en relación con el artículo 24 de la Ley 10/2016. No oponiéndose las restantes partes personadas y no concurriendo un interés constitucional que aconseje un pronunciamiento de este Tribunal, procede admitir el desistimiento parcial del artículo 24 de la Ley 10/2016.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del objeto del presente proceso ha de excluirse el artículo 24 de la Ley 10/2016, quedando circunscrito nuestro enjuiciamiento a la impugnación del artículo 3, los apartados 1 a 4 del artículo 5 (y, en conexión, el inciso final de la disposición adicional primera y la disposición transitoria tercera), el artículo 20 (junto con la disposición transitoria segunda) y la disposición adicional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con carácter general, que los preceptos impugnados vulneran las competencias atribuidas al Estado por el artículo 149.1.11 y 13 CE, en cuanto interfieren y afectan negativamente a la política económica del Gobierno, tendente a la reestructuración y estabilidad del sistema bancario y crediticio. Además, alega de forma específica que el artículo 3 infringe las competencias estatales del artículo 149.1.14 y 18 CE y que los artículos 5 y 20 vulneran la competencia exclusiva del Estado en materia de legislación procesal del artículo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representantes del Gobierno y de las Cortes de Aragón sostienen que las normas en cuestión responden a un legítimo ejercicio de las competencias autonómicas en materia de vivienda y acción social (arts.71.10 y 34 EAAr), solicitando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aplicable. Con la excepción del artículo 3 de la Ley 10/2016, el contenido del resto de preceptos impugnados en el presente recurso proviene, con las modificaciones que se indicarán, del Decreto-ley 3/2015, de 15 de diciembre, del Gobierno de Aragón, de medidas urgentes de emergencia social en materia de prestaciones económicas de carácter social, pobreza energética y acceso a la vivienda, que fue objeto del recurso de inconstitucionalidad núm. 4952-2016, resuelto por la reciente STC 5/2019, de 17 de enero. Por consiguiente, en todo lo que sea aquí aplicable, nos remitiremos a la doctrina establecida en la citada Sentencia, sin perjuicio de examinar las novedades que, en su caso, incorporen los preceptos impugnados de la Ley 10/2016.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de la citada STC 5/2019, se ha dejado constancia, tanto de la evolución de las normas dictadas por el Estado en materia de ejecuciones hipotecarias de viviendas, por remisión a las precedentes SSTC 43/2018, de 26 de abril, FJ 2 y 97/2018, de 19 de septiembre, FJ 3, como de los pronunciamientos previos de este Tribunal sobre otras normas autonómicas en materia de vivienda, entre otras, las SSTC 93/2015, de 14 de mayo; 16/2018, de 22 de febrero; 32/2018, de 12 de abril; 80/2018, de 5 de julio, y 106/2018, de 4 de octubre. La doctrina fijada en las anteriores sentencias deberá ahora tenerse en cuenta para resolver las cuestiones suscitadas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Impugnación global de la ley. El abogado del Estado comienza cuestionando el conjunto de los preceptos impugnados por suponer una interferencia en el ejercicio de la competencia estatal en materia de ordenación económica (art. 149.1.13 CE), al proyectarse sobre un ámbito material regulado por el Estado, que ha adoptado medidas y acciones para dar respuesta al problema de las ejecuciones hipotecarias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salvo el juicio que merezca cada uno de los preceptos impugnados, procede descartar con carácter general que la presente Ley vulnere la competencia estatal del artículo 149.1.13 CE, con base en lo razonado en la citada STC 5/2019, FJ 3, que, a su vez, remite a pronunciamientos anteriores de este Tribunal (SSTC 16/2018, FJ 16; 32/2018, FJ 6; 43/2018, FJ 4, y 80/2018,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Naturaleza de las prestaciones económicas del sistema público de servicios sociales. Descartada la impugnación general, debemos entrar en el examen de los diferentes preceptos recurridos, comenzando por el artículo 3, que no figuraba en el Decreto-ley 3/2015 y, por tanto, no fue enjuiciado en la STC 5/2019.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Naturaleza de las prestaciones económicas del sistema público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prestaciones económicas del sistema público de servicios sociales son aportaciones dinerarias con un régimen jurídico propio, definidas por su carácter finalista, requisitos y condiciones de reconocimiento, y carecen de la consideración de subvenciones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misma naturaleza tendrán las prestaciones económicas de carácter social incluidas en el catálogo de servicios sociales de la Comunidad Autónoma de Aragón y en los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este precepto vulnera las competencias estatales contenidas en las reglas 13, 14 y 18 del artículo 149.1 CE, con fundamento en las cuales se ha aprobado la Ley 38/2003, de 17 de noviembre, general de subvenciones. El abogado del Estado alega que esta ley establece un concepto básico de subvención (art. 2) y, cuando las Comunidades Autónomas regulan determinadas subvenciones en ejercicio de sus competencias, no pueden privarlas de tal condición para excluirlas del régimen jurídico que les es propio, contenido en la ley estatal. Pese a que predica la tacha del precepto autonómico en su conjunto, de la demanda se deduce que únicamente cuestiona el inciso “y carecen de la consideración de subvenciones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los representantes autonómicos entienden que, de la misma forma que el artículo 2.4 de la Ley estatal de subvenciones excluye ciertas prestaciones sociales abonadas por el Estado, con el argumento de que tienen un régimen jurídico propio, también la Comunidad puede hacerlo respecto de las que son de su competencia y tienen una regulación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analizar el reproche de inconstitucionalidad mediata o indirecta que se dirige contra el inciso controvertido, en la medida en que la denunciada inconstitucionalidad de este inciso se imputa a la vulneración de la normativa estatal básica, debemos recordar que, según doctrina reiterada de este Tribunal, para constatar esta infracción “es necesario que concurran dos condiciones; por un lado, que la norma estatal infringida por la Ley autonómica sea, en el doble sentido material y formal, una norma básica y, por tanto, dictada legítimamente al amparo del correspondiente título competencial que la Constitución haya reservado al Estado; y, por otro, que la contradicción entre ambas normas, estatal y autonómica, sea efectiva e insalvable por vía interpretativa” (STC 54/2018, de 24 de mayo, FJ 6,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primer aspecto, el artículo 2 (“Concepto de subvención”) se enmarca en el capítulo I (“Del ámbito de aplicación de la ley”) del título preliminar (“Disposiciones generales”) de la Ley 38/2003, de 17 de noviembre, cuya disposición final primera afirma que se dicta al amparo de lo dispuesto en el artículo 149.1.13, 14 y 18 CE. En particular, tal disposición atribuye carácter básico a todo el capítulo I (arts. 1 a 7) del título preliminar. Por tanto, la norma estatal de contraste alegada es básica en sentido formal, pues se aprueba mediante una ley que le confiere expresamente tal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dilucidar si también es básica en sentido material conviene partir del análisis de la Ley 38/2003, que hizo este Tribunal al resolver los recursos de inconstitucionalidad, fundamentalmente competenciales, interpuestos contra aquella por el Gobierno de Aragón y por el Parlamento de Cataluña, que, respectivamente, fueron resueltos por las SSTC 130/2013, de 4 de junio, y STC 135/2013, de 6 de junio (que, en gran medida, se remite 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enjuiciar tales impugnaciones, la STC 130/2013 razonó que, con fundamento en el artículo 149.1.14 CE, y, al igual que sucede con la vertiente de los ingresos públicos, “corresponde al Estado no sólo el régimen jurídico de la ordenación de los gastos de la Administración del Estado, sino también el establecimiento de las normas y principios comunes de la actividad financiera de las distintas haciendas que tiendan a asegurar los principios constitucionales que, conforme a nuestra Constitución, han de regir el gasto público” (FJ 5). Asimismo, concluyó que, a partir de la competencia sobre procedimiento administrativo común del artículo 149.1.18 CE, “el Estado puede regular, desde una perspectiva general y abstracta, el procedimiento subvencional común”, mientras que las Comunidades Autónomas pueden establecer “las especialidades derivadas de la organización propia” (FJ 8). De igual modo, diversos preceptos de la Ley 38/2003 se consideraron amparados en la competencia estatal sobre “bases del régimen jurídico de las Administraciones públicas”, también del artículo 149.1.18 CE (STC 130/2013, FFJJ 9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las SSTC 130/2013 y 135/2013 confirmaron que el Estado tiene competencia para regular diversos aspectos del régimen jurídico y el procedimiento común de las subvenciones, siempre que “se circunscriba a aquellos elementos que pueden efectivamente considerarse comunes, de tal forma que respete un margen suficiente y adecuado para la introducción por parte de las Comunidades Autónomas de las necesarias especialidades en los procedimientos administrativos ratione materiae” (STC 130/2013,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artículo 2 de la Ley 38/2003 no fue examinado expresamente, pues no fue recurrido, la STC 130/2013 da por sentado el carácter básico del concepto de subvención cuando afirma en su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subvenciones son concebidas por la Ley 38/2003 como ‘toda disposición dineraria realizada por cualquiera de los sujetos contemplados en el artículo 3 de esta Ley, a favor de personas públicas o privadas’ que, sin contraprestación, además de otros requisitos, se dirija al ‘fomento de una actividad de utilidad pública o interés social o de promoción de una finalidad pública’ (art. 2)… debemos concluir que la Ley 38/2003 disciplina las disposiciones dinerarias de las Administraciones públicas en el sentido amplio que se acaba de señalar y cualquiera que fuere la fuente de financiación, de manera que se proyecta tanto sobre las subvenciones que provienen de fondos estatales contenidos en los presupuestos generales del Estado como de las partidas previstas en los presupuestos de las Comunidades Autónomas y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 competencia del Estado para regular ciertos aspectos del régimen jurídico y el procedimiento común aplicable a las subvenciones incluye también delimitar el objeto de dicha regulación, es decir, el concepto de subvención. Si no fuera así, quedaría a disposición del legislador autonómico decidir a qué gastos públicos se aplican las reglas comunes establecidas por el Estado en ejercicio de sus competencias, excluyendo tal o cual prestación, con lo que el ámbito de aplicación de la Ley general de subvenciones sería diferente en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razonado que el artículo 2 de la Ley 38/2003 también es básico en sentido material, con fundamento en el artículo 149.1.18 CE, debemos analizar si lo contradice la norma autonómica cuando dispone que las prestaciones económicas del sistema público de servicios sociales de Aragón no son subvenciones públicas. Para ello debemos partir de la redacción del apartado 1 del citado artículo 2 de la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entiende por subvención, a los efectos de esta ley, toda disposición dineraria realizada por cualesquiera de los sujetos contemplados en el artículo 3 de esta ley, a favor de personas públicas o privadas, y que cumpla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la entrega se realice sin contraprestación directa de los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proyecto, la acción, conducta o situación financiada tenga por objeto el fomento de una actividad de utilidad pública o interés social o de promoción de una finalidad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aclara la exposición de motivos de la Ley 38/2003 (apartado II), “el elemento diferenciador que delimita el concepto de subvención de otros análogos [es] la afectación de los fondos públicos entregados al cumplimiento de un objetivo, la ejecución de un proyecto específico, la realización de una actividad o la adopción de un comportamiento singular, ya realizados o por desarrollar. Si dicha afectación existe, la entrega de fondos tendrá la consideración de subvención y esta ley resultará de aplicación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“su carácter finalista” es lo que, según el propio tenor del artículo 3 de la Ley 10/2016, define las prestaciones económicas del sistema público de servicios sociales de Aragón (y por asimilación, las prestaciones incluidas en el catálogo de servicios sociales de la Comunidad Autónoma de Aragón y en los de las entidades locales). Como quiera que “afectación” y “carácter finalista” tienen en este caso análogo significado, toda vez que se trata de prestaciones públicas que están destinadas (afectas) al cumplimiento de un determinado y concreto objetivo (finalidad), debemos concluir que las prestaciones controvertidas tienen, prima facie, el carácter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normativa reguladora de las prestaciones a que se refiere el precepto impugnado confirma lo anterior. A este respecto, el artículo 37 de la Ley 5/2009, de 30 de junio, de servicios sociales de Aragón,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consideran prestaciones económicas del sistema público las aportaciones dinerarias cuya finalidad sea: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Facilitar la integración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Promover la autonomía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Cubrir o paliar las consecuencias económicas de las situaciones de urgencia social y 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Apoyar y compensar a las personas cuidadoras no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Adquirir prestaciones tecnológicas.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Facilitar el acceso a las ayudas técnicas o la adaptación necesaria en el medio habitual de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Adquirir un servicio o una asistencia personal dentro del marco del sistema para la autonomía y atención a la dependencia (SAAD).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Promover la normalización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Cualquier otra finalidad que pueda establecerse en el marco del sistema público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particular, son prestaciones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Prestaciones económicas para situaciones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Prestaciones económicas para facilitar la integración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Prestaciones económicas para la adquisición de prestaciones tecnológicas, ayudas técnicas y adaptaciones en el hogar y para la accesibilidad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Prestaciones económicas para el apoyo a quienes cuidan de las personas dependientes en el entorno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Prestaciones económicas para la adquisición de un servicio o la contratación de una asistencia personal para las personas 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Renta básica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transcrito pone de manifiesto que, en la generalidad de las prestaciones enunciadas, concurre la nota de la afectación que caracteriza a la subvención, pues no se trata de prestaciones incondicionadas, sino que se trata de prestaciones que son concedidas para la consecución de fines específicos que la propia norma de referencia establece. Tal es el caso de las que son concedidas para la adquisición de prestaciones tecnológicas, facilitar el acceso a las ayudas técnicas y la adaptación necesaria en el medio habitual de convivencia, contratar un servicio o una asistencia personal en el marco del sistema de atención a la dependencia,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respecto a la atención a la dependencia, la Ley estatal 39/2006, de 14 de diciembre, de promoción de la autonomía personal y atención a las personas en situación de dependencia, estrechamente vinculada al sistema de servicios sociales de las Comunidades Autónomas, regula unas “Ayudas económicas para facilitar la autonomía personal” (disposición adicional tercera) que son muy semejantes a las prestaciones que el artículo 3 de la Ley 10/2016 excluye como subvenciones y que, sin embargo, la norma estatal de referencia las califica expresamente como subvenciones,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General del Estado y las administraciones de las Comunidades Autónomas podrán, de conformidad con sus disponibilidades presupuestarias, establecer acuerdos específicos para la concesión de ayudas económicas con el fin de facilitar la autonomía personal. Estas ayudas tendrán la condición de subvención e irán destinadas: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apoyar a la persona con ayudas técnicas o instrumentos necesarios para el normal desenvolvimiento de su vida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facilitar la accesibilidad y adaptaciones en el hogar que contribuyan a mejorar su capacidad de desplazamiento en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dada la amplitud de supuestos cubiertos por el sistema público de servicios sociales, algunas concretas prestaciones del mismo puedan no responder al concepto de subvención que dispone el artículo 2.1 de la Ley 38/2003, cuestión ésta, la de determinar en cada supuesto concreto si una particular prestación pública tiene o no el carácter de subvención, que no rebasa los límites de la legalidad ordinaria. Sin embargo, el precepto autonómico de referencia, lo que hace es negar de modo general y absoluto el carácter de subvención de cualesquiera prestaciones económicas que conceda el sistema público de servicios sociales de Aragón, sin establecer ningún tipo de precisión o distinción, lo que conlleva como consecuencia la exclusión de la Ley estatal de subvenciones respecto de toda clase de prestaciones de los servicios sociales autonómicos y locales de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al exceptuar del concepto de subvención, en general y sin distinción, toda prestación económica de los servicios sociales de Aragón, la norma impugnada vulnera el artículo 2 de la Ley 38/2003, porque sustrae a las reglas sobre régimen jurídico y procedimiento común de las subvenciones, dictadas por el Estado en ejercicio de sus competencias, un conjunto amplísimo de prestaciones que presentan a priori los rasgos propios de esta categoría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inciso “y carecen de la consideración de subvenciones públicas” del artículo 3 de la Ley 10/2016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Inembargabilidad de las prestaciones económicas de carácter social. El artículo 5 de la Ley 10/2016 lleva por título “Inembargabilidad de las prestaciones económicas de carácter social” y contiene la misma medida que el artículo 3 del Decreto-ley 3/2015, ya enjuiciado en la STC 5/2019, FJ 3. Aunque se aprecia alguna diferencia entre ambos preceptos, cabe adelantar que ninguna altera el juicio de inconstitucionalidad que merece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 el apartado 1 del artículo 5 aquí impugnado también declara la inembargabilidad de las prestaciones establecidas por las entidades locales aragonesas, además de las de la Comunidad Autónoma, que ya contemplaba el precepto anterior; (ii) se incorpora un apartado 3 que dispone que las resoluciones de concesión de las prestaciones económicas de carácter social, emitidas por cualquier Administración aragonesa, “incorporarán información clara” sobre su condición de inembargables, los mecanismos de reclamación existentes y la colaboración que prestará la Administración de la Comunidad Autónoma en caso de embargo; (iii) se añade que, en las prestaciones concedidas por otras administraciones, se instará a la que sea competente para que actúe de la misma forma (apartado 4); y (iv) se dispone que “el departamento competente del Gobierno de Aragón habilitará los medios necesarios para informar y orientar” a los perceptores en los supuestos de embargo (apartado 5), medida no impugnada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novedosa la disposición adicional primera (“comisión informativa de la inembargabilidad de las prestaciones económicas de carácter social”), cuyo inciso final objeta el abogado del Estado, en cuanto prevé que “[l]os titulares de las prestaciones inembargables que sean objeto de algún procedimiento de embargo podrán solicitar la asistencia de esta comisión a los efectos de comunicar al órgano emisor de la providencia de embargo su carácter inembargable en toda su extensión, emitiendo certificado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disposición transitoria tercera de la Ley 10/2016, sobre aplicación transitoria del artículo 5, presenta el mismo contenido que la disposición transitoria tercera del Decreto-ley 3/2015, ya declarada inconstitucional en la STC 5/2019, por conexión con la declaración de inembargabilidad.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identidad sustancial del artículo 5 de la Ley 10/2016 y del artículo 3 del Decreto-ley 3/2015, debemos declarar la inconstitucionalidad y nulidad de aquel porque, al establecer la inembargabilidad de las prestaciones económicas de carácter social de la Comunidad Autónoma —y ahora, también, de las entidades locales—, invade el ámbito competencial que reserva al Estado el artículo 149.1.6 CE, por las razones ya explicadas en la STC 5/2019, FJ 3. Esta conclusión se extiende a los apartados 2 a 4, que son instrumentales del apartado 1, pero no al apartado 5, que contiene una previsión meramente informativa de alcance general y no ha sido cuestionado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declarar inconstitucional y nulo el inciso final de la disposición adicional primera y la disposición transitoria tercera, por su indisociable conexión con los apartados que son inconstitucionales. En el primer caso porque reconoce a los titulares de las prestaciones “inembargables” el derecho de solicitar la asistencia de una comisión informativa que emitirá un “certificado” de inembargabilidad a los efectos de comunicar dicha circunstancia al órgano emisor de la providencia de embargo. Y en cuanto a la disposición transitoria tercera, porque regula la aplicación temporal de la norma declarada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Suspensión de los lanzamientos en situación de especial vulnerabilidad. El artículo 20 de la Ley 10/2016 tiene su origen en el artículo 9 del Decreto-ley 3/2015, también examinado en la STC 5/2019, FJ 4. En dicho pronunciamiento razonamos que la suspensión de lanzamientos de deudores hipotecarios en situación de especial vulnerabilidad prevista en la norma autonómica no distorsiona las medidas que el Estado ha adoptado en este ámbito con fundamento en el artículo 149.1.13 CE, siempre que se interprete que la Administración autonómica debe ofrecer una alternativa habitacional dentro del plazo máximo de suspensión previsto en la norma estatal (art. 1.1 de la Ley 1/2013, de 14 de mayo, de medidas para reforzar la protección a los deudores hipotecarios, reestructuración de deuda y alquiler social, según redacción dada por el Real Decreto-ley 5/2017,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descartamos la vulneración del artículo 149.1.6 CE porque la norma autonómica no introduce innovación o especialidad procesal alguna en el procedimiento judicial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comparación entre el precepto aquí impugnado y el enjuiciado en la citada STC 5/2019 arroja algunas diferencias que —podemos avanzar— no modifican su valoración constitucional: (i) el artículo 20.2 extiende la suspensión a los lanzamientos en procesos judiciales o extrajudiciales de desahucio por impago de alquiler de inquilinos en la misma situación (especial vulnerabilidad) cuando el arrendador sea considerado como gran propietario de viviendas (titular de más de quince viviendas, según el artículo 25 de la Ley) o sea una persona jurídica que hubiera adquirido la vivienda después del 30 de abril de 2008 por ejecución hipotecaria, acuerdo de compensación de deudas o de dación en pago o por compraventas que tengan como causa la imposibilidad de restituir el préstamo hipotecario; (ii) la norma aquí recurrida especifica que el procedimiento de desahucio o lanzamiento quedará suspendido en tanto esté pendiente de resolución, una vez solicitado, el informe sobre la situación de especial vulnerabilidad (art. 20.3) y (iii) se prevé que las administraciones públicas aragonesas no podrán ejercer acciones de desahucio sobre viviendas de titularidad pública cuando afecten a personas en situación de especial vulnerabilidad (art. 20.4).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artículo 20.1 de la Ley 10/2016 arbitra el mismo mecanismo protector para personas especialmente vulnerables que el artículo 9 del Decreto-ley 3/2015, y lo amplía, para casos tasados que detalla la norma, a los desahucios por impago de alquiler. El abogado del Estado admite que es un supuesto de suspensión “muy similar” al del artículo 9 del Decreto-ley aragonés 3/2015 y, de hecho, no aduce ningún argumento específico sobre los desahucios por impago de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trasladar a la suspensión de lanzamientos en ejecuciones hipotecarias previstas en el artículo 20.1 de la Ley 10/2016 el mismo juicio que nos mereció el artículo 9 del Decreto-ley 3/2015 (STC 5/2019, FJ 4), de forma que tal medida no quebranta el artículo 149.1.13 CE, siempre que se interprete que la Administración autonómica debe ofrecer la alternativa habitacional dentro del plazo máximo de suspensión y que la vivienda se adjudique al acreedor o a un tercero por él propuesto, en los términos previstos en la norma estatal (art. 1.1 de la Ley 1/2013), interpretación que, por remisión a aquel precedente normativo de Aragón,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suspensión del desahucio por impago de alquiler del artículo 20.2 de la Ley aragonesa, constatamos que sirve a idéntica finalidad, que es salvaguardar el derecho a la vivienda de personas en situación de especial vulnerabilidad cuando el arrendador sea: (i) un gran propietario de viviendas o (ii) una persona jurídica que haya adquirido la vivienda tras el inicio de la crisis inmobiliaria y en determinadas circunstancias especificadas por la norma. Por tanto, se trata de una norma protectora, dictada por la Comunidad Autónoma en ejercicio de su competencia en materia de vivienda (art. 71.10 EAAr), que no menoscaba las competencias estatales derivadas del artículo 149.1.13 CE, puesto que no afecta al mercado hipotecario ni, por consiguiente, perturba la estabilidad de este subsector decisivo para el sector financiero y para la actividad económica general (STC 93/2015, FJ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analizada tampoco infringe el artículo 149.1.6 CE, puesto que configura un mecanismo sustantivo de protección de determinadas situaciones de especial necesidad [SSTC 80/2018, FJ 5 b) y 5/2019, FJ 4], vinculado a las actuaciones que debe desplegar la Administración para ofrecer una alternativa habitacional, a través de alguno de los instrumentos previstos en la Ley 10/2016, todo ello con base en las competencias autonómicas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encuentra fundamento en dichas competencias autonómicas sobre vivienda la previsión de que las administraciones públicas aragonesas no ejercerán acciones de desahucio sobre viviendas de titularidad pública cuando afecten a personas en situación de especial vulnerabilidad, incluso en su aplicación a las entidades locales [STC 57/2015, de 18 de marzo, FJ 17 b), referida a una norma análoga sobre vivienda social], lo que conduce a desestimar la impugnación del artículo 20.4.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 asimismo desestimarse, por conexión, la impugnación del artículo 20.3, sobre suspensión del procedimiento correspondiente en tanto se emita el informe sobre la situación de especial vulnerabilidad y de la disposición transitoria segunda, que regula la entrada en vigor del artículo 20 de la Ley 10/2016.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Mediación obligatoria en la aplicación del código de buenas prácticas. Por último, el abogado del Estado recurre la disposición adicional quinta, que lleva por título “Seguimiento y aplicación del Código de Buenas Prácticas para la reestructuración viable de las deudas con garantía hipotecaria sobre la vivienda habitual”, cuya redacción coincide con la disposición adicional cuarta del Decreto-ley 3/2015, declarada inconstitucional por la STC 5/2019, FJ 5 por vulneración del artículo 149.1.6 CE. En consecuencia, por remisión a lo razonado allí, debemos declarar inconstitucionales y nulos los apartados 1, 2 y 3 de la disposición adicional quinta, excluyendo de dicha declaración el apartado 4, que se contrae a prever que el Gobierno autonómico fomentará los convenios con otras Administraciones públicas aragonesas para implantar un sistema coordinado de mediación hipotecaria.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Aceptar el desistimiento parcial del abogado del Estado, en la representación que legalmente ostenta, respecto del presente recurso de inconstitucionalidad, en concreto, de la impugnación promovida contra el artículo 24 de la Ley 10/2016, de 1 de diciembre, de medidas de emergencia en relación con las prestaciones económicas del sistema público de servicios sociales y con el acceso a la vivienda en la Comunidad Autónoma de Aragón.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este recurso de inconstitucionalidad, y, en su virtud, declarar la inconstitucionalidad y nulidad de los siguientes preceptos de la Ley 10/2016, de 1 de diciembre: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El inciso “y carecen de la consideración de subvenciones públicas” del artículo 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Los apartados 1 a 4 del artículo 5, el inciso final de la disposición adicional primera “[l]os titulares de las prestaciones inembargables que sean objeto de algún procedimiento de embargo podrán solicitar la asistencia de esta comisión a los efectos de comunicar al órgano emisor de la providencia de embargo su carácter inembargable en toda su extensión, emitiendo certificado de ello” y la disposición transitoria tercera.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Los apartados 1, 2 y 3 de la disposición adicional quinta.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el artículo 20.1 no es inconstitucional interpretado en el sentido expuesto en el fundamento jurídico 6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en todo lo demás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vicepresidenta doña Encarnación Roca Trías respecto a la sentencia dictada en el recurso de inconstitucionalidad núm. 4403-2017, al que se adhiere el magistrado don Alfredo Montoya Melgar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Voto particular a fin de exponer mi discrepancia con parte de la fundamentación jurídica y con el fallo, en atención a las razones que defendí durante su deliberación en el Pleno y que paso a exponer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únicamente de la fundamentación jurídica referida a la desestimación de la impugnación del artículo 20.2 de la Ley aragonesa 10/2016, en lo relativo a la suspensión de los desahucios judiciales en supuestos de impago del alquiler. El fundamento jurídico 6 de la Sentencia considera que el artículo 20 de la Ley 10/2016 arbitra el mismo mecanismo protector para personas especialmente vulnerables que el artículo 9 del Decreto-ley de Aragón 3/2015 (la suspensión de los lanzamientos en los procesos de ejecución hipotecaria, ya examinada en la reciente STC 5/2019, de 17 de enero) y lo amplía a los desahucios por impago de alquiler, para los casos tasados que detalla la norma. La Sentencia descarta que las medidas en cuestión infrinjan el artículo 149.1.13 CE, lo que comparto, y luego rechaza que la extensión de la suspensión de los lanzamientos a los procesos judiciales de desahucio por impago de alquiler que lleva a cabo el artículo 20.2 vulnere las competencias estatales en materia de legislación procesal del artículo 149.1.6 CE. La razón que se aporta es que “configura un mecanismo sustantivo de protección de determinadas situaciones de especial necesidad [SSTC 80/2018, FJ 5 b) y 5/2019, FJ 4], vinculado a las actuaciones que debe desplegar la Administración para ofrecer una alternativa habitacional, a través de alguno de los instrumentos previstos en la Ley 10/2016, todo ello con base en las competencias autonómicas en materia de vivienda”.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ese razonamiento. La Sentencia parece considerar que, a sus efectos, la suspensión del lanzamiento en los procesos de ejecución hipotecaria y la de los lanzamientos en los procesos judiciales de desahucio por impago del alquiler son figuras similares o idénticas, con la consecuencia de que, a los segundos, les es aplicable la misma ratio decidendi que ya formuló la STC 5/2019 para los primeros. Con dicha identificación, la Sentencia no toma en consideración la diferente naturaleza de uno y otro procedimiento. El procedimiento de ejecución hipotecaria se basa en un título ejecutivo, revestido de los requisitos que establece la Ley 1/2000, de 7 de enero, de enjuiciamiento civil (LEC), que permiten despachar su ejecución; en cambio el lanzamiento en el procedimiento de desahucio por impago del alquiler es la consecuencia del resultado de un proceso judicial previo. A estos efectos, el artículo 27.2 a) de la Ley 29/1994, de 24 de noviembre, de arrendamientos urbanos, establece que el arrendador podrá resolver el contrato de arrendamiento por la falta de pago de la renta o, en su caso, de cualquiera de las cantidades cuyo pago haya asumido o corresponda al arrendatario. En coherencia con ello, el procedimiento de desahucio por impago de la renta está regulado en los apartados 3 y 4 del artículo 440 LEC, requiriendo las formalidades y trámites allí previstos.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por tanto, que la suspensión de lanzamiento en los desahucios judiciales en casos de impago del alquiler no es un supuesto comparable ni responde a la misma naturaleza que las medidas ya examinadas por este Tribunal en relación con la suspensión de ejecuciones hipotecarias. Con respecto a esta última, la STC 5/2019 descartó la vulneración del artículo 149.1.6 CE porque la norma autonómica no introducía innovación o especialidad procesal alguna en el procedimiento judicial de ejecución hipotecaria. En este caso, por el contrario, estimo que la norma autonómica introduce una especialidad de naturaleza procesal que supone una alteración del régimen comúnmente aplicable en todo el territorio nacional en los procedimientos de desahucio por falta de pago de la renta pactada en el arrendamiento. El destinatario del mandato legal de suspensión es el órgano judicial frente al que se ha instado el proceso, el cual, en el caso de que el sujeto que ha iniciado el citado proceso de desahucio cumpla alguna de las condiciones previstas en los apartados a) o b) de este artículo 20.2 y el arrendatario se encuentre en la situación de vulnerabilidad que también la Ley 10/2016 define en su artículo 17, debe necesariamente suspender el lanzamiento previsto en los ya mencionados artículos 440.3 y 440.4 LEC “hasta que se ofrezca una alternativa habitacional digna por parte de la Administración”. Suspensión que también se produce con la solicitud del informe sobre la situación de especial vulnerabilidad y en tanto esté pendiente de resolución, conforme al artículo 20.3 de la Ley 10/2016. Resulta, entonces, a mi entender, que se está introduciendo una innovación en un procedimiento judicial que afecta al modo en que dicho procedimiento ha sido diseñado por el legislador procesal, lo que tampoco encuentra acomodo en las competencias autonómicas en materia de vivienda. En consecuencia, se ha invadido la competencia exclusiva del Estado en materia procesal, reconocida en el artículo 149.1.6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situación no es similar a las examinadas en decisiones anteriores de este Tribunal a las que la Sentencia hace referencia. El caso de la STC 80/2018, de 5 de julio, FJ 5 b), se refería a la obligación impuesta por una norma autonómica de establecer un contrato de arrendamiento con opción de compra, lo que no tiene nada que ver con lo aquí discutido, y la STC 5/2019, FJ 4, como la propia Sentencia ha reconocido antes, no se refiere a los desahucios sino solamente a la suspensión de los lanzamientos en determinadas ejecuciones hipotecarias.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dado que la norma autonómica produce la paralización de un procedimiento judicial relativo al desahucio por impago de la renta del alquiler, estimo que la situación era bastante similar a otros casos de normas autonómicas que el Tribunal ya ha declarado inconstitucionales por cuanto, al introducir causas de suspensión de procedimientos judiciales que no encontraban fundamento en una particularidad del derecho sustantivo autonómico, vulneraban las competencias estatales en materia de legislación procesal del artículo 149.1.6 CE. Así sucedió con las normas autonómicas que introducían una causa de suspensión de la ejecución judicial de las sentencias que llevan aparejada la demolición de obras declaradas ilegales (STC 92/2013, de 22 de abril, FFJJ 4 a 6, sobre la disposición adicional sexta de la Ley 2/2001, de 25 de junio, de ordenación territorial y del régimen urbanístico del suelo de Cantabria, y STC 82/2014, de 28 de mayo, FJ 3, acerca de la disposición adicional sexta de la Ley 8/2012, de 29 de junio, de vivienda de Galicia). También se estimó contrario al orden constitucional de distribución de competencias el precepto autonómico (art. 65 bis 1 de la Ley 2/2001, de 25 de junio, de ordenación territorial y de régimen urbanístico del suelo de Cantabria) que suspendía ejecuciones judiciales mientras se tramitaban planes que tenían por objeto la legalización de edificios declarados ilegales en sentencias firmes cuya ejecución exigía su derribo (STC 254/2015, de 30 de noviembre,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dado lo expuesto y teniendo en cuenta los precedentes citados, entiendo que el artículo 20.2 de la Ley 10/2016 debió ser declarado inconstitucional y nulo en lo referente a la suspensión de lanzamientos en los procesos judiciales de desahucio por impago de alquiler; y en cuanto se aplique a éstos, también la mención del artículo 20.3, sobre la suspensión del procedimiento correspondiente en tanto se emita el informe sobre la situación de especial vulnerabilidad, así como la disposición transitoria segunda, que regula la entrada en vigor del artículo 20 de la Ley 10/2016, por tratarse de una norma procesal, materia sobre la que la comunidad autónoma carece de competencias, de acuerdo con lo dispuesto en el artículo 149.1.6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febrero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