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5905-2018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5905-2018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noviembre de 2018, la Junta de Extremadura, representada por la procuradora de los Tribunales doña Aurora Gómez-Villaboa Mandri y bajo la dirección de la letrada doña Ana Cristina Sánchez-Barriga Leiton, interpuso recurso de amparo contra la providencia de la Sección Primera de la Sala de lo Contencioso-Administrativo del Tribunal Superior de Justicia de Extremadura de 11 de octubre de 2018, por la que se inadmite el incidente de nulidad de actuaciones interpuesto contra el auto de 10 de septiembre de 2018, por el que se inadmite el recurso de casación autonómico núm. 3-2018, interpuesto contra la sentencia del Juzgado de lo Contencioso-Administrativo núm. 1 de Mérida de 2 de marzo de 2018, pronunciada en el procedimiento abreviado núm. 151-2017 sobre reconocimiento de complemento salarial a una empleada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que se suspenda la ejecución de la sentencia pronunciada por el Juzgado de lo Contencioso-Administrativo argumentando lo siguiente: “que previendo el art. 56.2 LOTC la suspensión de los efectos de las resoluciones judiciales que son objeto de amparo en este procedimiento interesamos se acuerde la misma porque su ejecución puede hacer perder la finalidad legítima que nos lleva a impetrar el amparo de ese alto tribunal, la suspensión, por otra parte, no perturbaría ningún interés constitucionalmente protegido ni a los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18 de marzo de 2019, acordó, en la primera, la admisión a trámite del presente recurso de amparo, apreciando que concurre en el mismo una especial trascendencia constitucional (art. 50.1 LOTC) porque el asunto suscitado transciende el caso concreto al plantear una cuestión jurídica de relevante y general repercusión social o económica [STC 155/2009, FJ 2 g)] y la formación de pieza separada para la sustanciación del incidente de suspensión; y, en la segunda, conceder a la parte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 de abril de 2019, presentó alegaciones interesando denegar la suspensión solicitada, ya que (i) la parte recurrente lo que está solicitando es la suspensión de efectos de la sentencia recurrida en casación y no la decisión judicial de inadmisión del recurso de casación, que es la impugnada en este recurso de amparo, lo que es determinante para su denegación (ATC 266/2005, de 20 de junio, FJ 1) y (ii) en cualquier caso, la parte recurrente no ha cumplido con la carga de justificar los eventuales prejuicios que se le irrogarían y la suspensión solicitada tiene un contenido meramente económico en tanto que se limita a reconocer el derecho a la percepción de un complemento salarial, lo que impide considerar que tenga efectos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demandante no han presentado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Como excepción, el artículo 56.2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 La suspensión cautelar de las resoluciones impugnadas en amparo se configura como una medida provisional de carácter excepcional y de aplicación restrictiva, que deriva de la necesidad de preservar el interés general, de garantizar la efectividad de las decisiones de los poderes públicos y de asegurar la ejecución de las resoluciones dictadas por jueces y tribunales en el ejercicio de la potestad jurisdiccional que les confiere el artículo 117.3 CE (así, AATC 82/2018, de 17 de julio, FJ 1, y 98/2018, de 18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también ha reiterado que el demandante de amparo tiene la carga de acreditar el perjuicio y debe precisar los concretos detrimentos o daños que pueden derivarse de la ejecución del acto impugnado, así como justificar o argumentar razonadamente su carácter irreparable. Asimismo, es doctrina reiterada que el perjuicio, para ser irreparable, debe ser real y actual y que no es posible alegar un daño futuro o hipotético o un simple temor. Y, en fin, que la pérdida de la finalidad del amparo no puede equipararse a la mayor o menor dificultad, molestia o incomodidad para el recurrente (entre otros, AATC 160/2017, de 21 de noviembre, FJ 2, y 88/2018, de 17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se ha expuesto en los antecedentes, la parte recurrente se ha limitado en su demanda a solicitar que se suspenda la ejecución de la sentencia pronunciada por el Juzgado de lo Contencioso-Administrativo argumentando que “previendo el art. 56.2 LOTC la suspensión de los efectos de las resoluciones judiciales que son objeto de amparo en este procedimiento interesamos se acuerde la misma porque su ejecución puede hacer perder la finalidad legítima que nos lleva a impetrar el amparo de ese alto Tribunal, la suspensión por otra parte, no perturbaría ningún interés constitucionalmente protegido ni a los derechos fundamentales de terceros”. Posteriormente, en el trámite de audiencia de este incidente de suspensión no ha presentado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razonamiento desarrollado por la parte recurrente para instar de este Tribunal la suspensión de un pronunciamiento judicial —que no es el impugnado en este recurso de amparo y al que en la demanda de amparo no se imputa directamente ninguna lesión constitucional, pues aquella no se dirige contra la sentencia de instancia, sino contra la providencia de inadmisión de la Sala de lo Contencioso-Administrativo del Tribunal Superior de Justicia— no expresa cuál es el perjuicio que se considera que irrogaría su ejecución ni tampoco, atendiendo a la circunstancia de que tiene un evidente carácter económico, su carácter irreparable. En estas condiciones este Tribunal no puede dar por cumplida la carga procesal que compete a la parte recurrente para obtener una medida provisional de carácter excepcional y de interpretación restrictiva como es la suspensión de una resolución judicial que, por otra parte, reconoce derechos de terceros. Por tanto, dado que se carece de cualquier apoyatura argumental sobre la que sustentar cualquier otra decisión, es preciso desestimar la solicitud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