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1342-2018, interpuesto por la Administración General del Estado contra la sentencia recaída en el recurso de casación núm. 3374-2015, dictada por la Sección Tercera de la Sala de lo Contencioso-Administrativo del Tribunal Supremo en fecha 14 de diciembre de 2017, y contra el auto de 26 de enero de 2018, de la misma Sala y Sección, que desestimó el incidente de nulidad de actuaciones promovido por la ahora recurrente frente a la citada sentencia. Ha intervenido el Ministerio Fiscal. Ha comparecido la entidad mercantil Electra Caldense, S.A.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marzo de 2018, la Administración General del Estado,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6 de mayo de 2014 se interpuso por la entidad Electra Caldense, S.A., recurso contencioso-administrativo contra la Orden IET/350/2014, de 7 de marzo, por la que se fijan los porcentajes de reparto de las cantidades a financiar relativas al bono social correspondientes a 2014. El recurso fue desestimado por sentencia de la Sección Cuarta de la Sala de lo Contencioso-Administrativo de la Audiencia Nacional de 16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Electra Caldense, S.A., interpuso ante el Tribunal Supremo recurso de casación contra la anterior sentencia —al que se opuso la Abogacía del Estado— en cuyo suplico se pedía, con carácter principal, el dictado de sentencia que estimase el recurso de casación y declarase que, entre otros motivos, se había vulnerado el art. 14 CE y el art. 3 de la Directiva 2009/72/CE y que se había infringido la jurisprudencia del Tribunal de Justicia, la del Tribunal Constitucional y la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14 de noviembre de 2017, la Sección Tercera de la Sala de lo Contencioso-Administrativo del Tribunal Supremo dictó sentencia, estimando el recurso de casación interpuesto por la recurrente, declarando la nulidad de la sentencia objeto del recurso, y estimando el recurso contencioso-administrativo interpuesto declaró la nulidad de la Orden IET/350/2014, de 7 de marzo, y el derecho de la recurrente a ser indemnizada por las cantidades abonadas en concepto de bono social en aplicación de la citada orden, más los intereses legales desde la fecha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se refirió a la fundamentación contenida, entre otras, en las sentencias de 14 de octubre de 2016, de la misma Sección y Sala. De los referidos pronunciamientos del Tribunal Supremo se derivaba que el régimen de financiación del bono social establecido en el art. 45.4 de la Ley 24/2013, de 26 de diciembre, resultaba incompatible con la Directiva 2009/72/CE, del Parlamento Europeo y del Consejo, de 13 de julio de 2009, sobre normas comunes para el mercado interior de la electricidad y por la que se deroga la Directiva 2003/54/CE; y que, asimismo, habían sido declarados nulos e inaplicables los arts. 2 y 3 del Real Decreto 968/2014, de 21 de noviembre, que desarrollan lo dispuesto en el citado art. 45.4 de la Ley 24/2013, de 26 de diciembre. Por todo ello, en el fundamento jurídico 3 de la sentencia estimatoria del recurso de casación se indicaba que las consideraciones expuestas en las citadas sentencias llevaban a considerar que la sentencia recurrida debía ser casada y anulada, debiendo declararse nula la Orden IET/350/2014, al haber sido dictada en desarrollo de un precepto legal —el art. 45.4 de la Ley 24/2013— que había sido declarado inaplicable.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Administración General del Estado promovió incidente de nulidad de actuaciones contra la sentencia antes referida, en el cual denunció la vulneración del derecho fundamental a la tutela judicial efectiva sin indefensión y al proceso con todas las garantías, por no haberse planteado cuestión de inconstitucionalidad ni cuestión prejudicial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fue desestimado por auto de fecha 26 de enero de 2018. El órgano judicial argumentó que los motivos de nulidad aducidos por el abogado del Estado eran análogos a los formulados por el propio representante procesal frente a sentencias dictadas en recursos de casación de contenido igual al que se refiere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General del Estado,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a haber declarado inaplicable el art. 45.4 de la Ley del sector eléctrico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justifica la especial trascendencia constitucional del recurso en estos términos: el Tribunal Constitucional carece de doctrina consolidada respecto del criterio de identidad o evidencia al que los órganos jurisdiccionales deben sujetarse para, en aplicación de la jurisprudencia del Tribunal de Justicia, poder exonerarse de plantear cuestión prejudicial ante el Tribunal de Justicia, con base en la existencia del “acto claro” o “acto aclarado”, por la similitud que el supuesto presenta con un caso ya resuelto por el Tribunal de Justicia, apreciar que una disposición interna con rango de ley es contraria al Derecho europeo y, consiguientemente, poder inaplicarla directamente. En suma, sería necesario determinar el alcance de las facultades o amplitud del margen de interpretación del juez ordinario para inaplicar una norma con rango de ley, directamente por considerarla sin más contraria al ordenamiento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sostiene la manifiesta improcedencia de dar por resuelta o aclarada la cuestión mediante la invocación de la sentencia del Tribunal de Justicia de la Unión Europea de 7 de septiembre de 2016 (asunto C-121/15, Anode), como ha hecho la Sala del Tribunal Supremo en la sentencia objeto de recurso, aunque haya sido por sola remisión, lo que supone una violación del derecho a la tutela judicial efectiva sin indefensión y del derecho al debido proceso de la Administración en su día demandada, con arreglo a la doctrina de las SSTC 58/2004, FFJJ 2 y sigs., y 78/2010, FJ 2. Afirma que el dictamen de la comisión permanente del Consejo de Estado de 6 de noviembre de 2014 —emitido respecto del proyecto de orden, por la que se desarrolla la metodología para la fijación de los porcentajes de reparto de las cantidades a financiar, relativas al bono social (en la que se basó la liquidación objeto del recurso contencioso-administrativo)— se pronunció en términos absolutamente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tanto la jurisprudencia como el ordenamiento positivo niegan a los jueces y tribunales nacionales la competencia para declarar por sí mismos la invalidez de los actos comunitarios: al Tribunal de Justicia le corresponde el monopolio para repudiar los actos y disposiciones legales contrarios al Derecho de la Unión originario o derivado; solo por excepción, cuando exista un pronunciamiento anterior igual, “acto aclarado”, es decir, se den las condiciones fijadas por la doctrina Cilfit, puede el órgano jurisdiccional prescindir del cauce legalmente previsto en atención al principio de economía procesal, o en el entendimiento de que lo objetivamente claro para todos no requiere consulta. La doctrina Cilfit no apodera al juez interno para interpretar por su propia autoridad el Derecho de la Unión, sino para aplicarlo cuando esté clara la norma aplicable; pero si existe un margen de duda el reenvío al Tribunal de Justicia es de promoción obligatoria, conforme al art. 267 del Tratado de funcionamiento de la Unión Europea (TFUE). De ahí la vulneración de la tutela judicial (art. 24 CE), pues al resolver el órgano jurisdiccional interno inaplicando directamente, por su sola autoridad, la norma con rango de ley, primero, priva al justiciable, de manera contraria a la Constitución, es decir, no sometiéndose al sistema de fuentes establecido y al imperio de la ley, de la norma con rango de ley que resulte aplicable al caso; y, segundo, el juez nacional habría resuelto el pleito inmiscuyéndose en un ámbito o competencia jurisdiccional ajena,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Primera de la Sala Primera de este Tribunal acordó admitir a trámite el presente recurso apreciando que concurría especial transcendencia constitucional (art. 50.1 LOTC), porque planteaba un problema o afectaba a una faceta de un derecho fundamental sobre el que no había doctrina de este Tribunal [STC 155/2009, FJ 2 a)]. Por ello, en aplicación de lo dispuesto en el art. 51 LOTC, dirigió atenta comunicación a la Sección Tercera de la Sala de lo Contencioso-Administrativo del Tribunal Supremo y a la Sección Cuarta de la Sala de lo Contencioso-Administrativo de la Audiencia Nacional, a fin de que, en plazo que no excediera de diez días, remitieran certificación o fotocopia adverada de las actuaciones correspondientes al recurso de casación núm. 3374-2015 y al recurso contencioso-administrativo núm. 180-2014, respectivamente, debiendo practicar este último órgano judicial los correspondientes emplazamientos para que pudieran comparecer en el recurso de amparo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22 de junio de 2018, la entidad Electra Caldense, S.A., representada por la procuradora de los tribunales doña Cecilia Díaz-Caneja Rodríguez, interesó que se le tuviera por personada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julio de 2018, el secretario de justicia de la Sección Primera de la Sala Primera de este Tribunal tuvo por recibidos los testimonios de las actuaciones remitidos por la Sala de lo Contencioso-Administrativo del Tribunal Supremo y la Sección Cuarta de la Sala de lo Contencioso-Administrativo de la Audiencia Nacional, y por personada y parte en el procedimiento a Electra Caldense, S.A., a través de la indicada representación procesal. Asimismo, de conformidad con lo dispuesto en el art. 52.1 LOTC, se dispuso dar vista de todas las actuaciones al Ministerio Fiscal y a las demás partes personadas,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 de septiembre de 2018 tuvieron entrada en el registro general de este Tribunal las alegaciones de Electra Caldense, S.A., en las que se opuso al recurso de amparo y solicitó que se dictase sentencia acordando la inadmisión del recurso de amparo, por incumplimiento de los requisitos exigidos para su interposición en los términos previstos en los arts. 41.1 in fine y 50.1 b) LOTC, así como por inexistencia de violación de un derecho fundamental tutelable en amparo; o, subsidiariamente, su desestimación, por inexistencia de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que la justificación de la supuesta “trascendencia constitucional” que reviste el fondo del asunto no es más que una mera reiteración de la lesión aducida por la Administración General del Estado, y no es razón suficiente para motivar una decisión sobre el fondo del asunto; en segundo lugar, que el Tribunal Constitucional ya ha tenido ocasión de pronunciarse, en numerosas ocasiones, respecto de los supuestos en los que un tribunal nacional puede no plantear una cuestión prejudicial, y menciona en este sentido las SSTC 78/2010, de 20 de octubre, 145/2012, de 2 de julio y 232/2015, de 5 de noviembre; en tercer lugar, que no concurre ninguno de los supuestos de especial trascendencia constitucional a los que se refiere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defiende la inadmisión o desestimación del recurso de amparo porque la sentencia impugnada no conculca los derechos garantizados por el art. 24 CE que aduce el demandante de amparo. Razona que no existe la supuesta falta de motivación de la sentencia impugnada por lo que respecta a la posibilidad de inaplicar la normativa interna sin necesidad de plantear cuestión prejudicial, y que la simple discrepancia de las partes no puede oponerse como fundamento a la falta de motivación de la sentencia impugnada (STC 27/2013, de 11 de febrero). Argumenta que no existe vulneración del derecho a la tutela judicial efectiva sin indefensión y al proceso con todas las garantías (art. 24 CE). Se recuerda que el Tribunal Constitucional inadmitió, por manifiesta inexistencia de violación de un derecho fundamental tutelable en amparo, el recurso de amparo promovido por la Administración General del Estado contra la sentencia de 7 de febrero de 2012 y el auto de 25 de mayo de 2012 de la Sala de lo Contencioso-Administrativo del Tribunal Supremo, dictados en los autos del recurso núm. 419/2010 interpuesto por Iberdrola S.A., contra el anterior mecanismo de financiación del bono social regulado por el Real Decreto-ley 6/2009, de 30 de abril. Con respecto a la doctrina del “acto aclarado”, se afirma que era innecesario plantear cuestión prejudicial europea por existir dos sentencias del Tribunal de Justicia en supuestos materialmente idénticos al resuelto por el Tribunal Supremo (sentencias de 20 de abril de 2010, asunto C-265/08, Federutility, y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el día 3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comienza exponiendo la importante similitud con las pretensiones de amparo planteadas por la abogacía del Estado en los recursos de amparo núms. 593-2017, 595-2017 y 597-2017, tramitados ante la Sala Segunda, y los recursos núms. 596-2017 y 1158-2017, que se siguen ante esta Sala Primera. Se señala que, al igual que en esos recursos de amparo, también en el presente se alega la vulneración del derecho a la tutela judicial efectiva y al proceso debido de los arts. 24.1 y 24.2 CE, en cuanto que la sentencia impugnada se fundamenta en lo resuelto por anteriores sentencias de la Sección Tercera de dicho Tribunal, dictadas el 24 y 25 de octubre y el 2 de noviembre de 2016, que inaplicaron, directamente, el régimen de financiación del bono social establecido por el art. 45.4 LSE, del que trae causa la Orden IET/350/2014, de 7 de marzo, que es, directamente, impugnada por la entidad Electra Caldense, S.A., en el proceso de origen. Dada esa similitud entre los recursos de amparo, tanto en las resoluciones del Tribunal Supremo impugnadas como en las pretensiones del demandante de amparo, el Ministerio Fiscal indica que sus alegaciones serán sustancialmente idénticas con las que formuló en los citados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en primer lugar, que la Administración General del Estado sí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el recurso de amparo no ha perdido su objeto por el hecho de que una norma legal posterior, el Real Decreto-ley, de 23 de diciembre, haya modificado la redacción del art. 45.4 de la Ley 24/2013, puesto que la norma controvertida sigue siendo de aplicación en el proceso de origen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examina la vulneración del derecho a la tutela judicial efectiva y al proceso debido que se invoca por el abogado del Estado al haberse inaplicado, directamente, en la sentencia dictada en casación, la regulación establecida en el art. 45.4 de la Ley 23/2013 sobre la financiación del bono social, por su oposición al Derecho de la Unión Europea, sin haberse planteado por el Tribunal Supremo cuestión prejudicial europea. Como la sentencia de 14 de diciembre de 2017 objeto del presente recurso de amparo fundamenta esa inaplicación por remisión a los fundamentos de las sentencias dictadas por la Sección Tercera de la Sala de lo Contencioso-Administrativo del Tribunal Supremo de 24 de octubre de 2016 (recursos núms. 960-2014 y 961-2014), 25 de octubre de 2016 (recurso núm. 16-2015) y 2 de noviembre de 2016 (recurso núm. 11-2015), de las que traen causa los recursos de amparo núms. 593-2017, 595-2017, 596-2017 y 597-2017, interpuestos por la abogacía del Estado, se indica que se reiterará también lo alegado por la fiscalía en dichos recursos a propósito de esa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el mecanismo del bono social que, según refiere, opera como una medida de protección de los consumidores de energía que son vulnerables, por cumplir determinadas condiciones sociales, de consumo y poder adquisitivo. Ese bono responde a las previsiones de la Directiva 2009/72/CE, según la cual “los Estados miembros adoptarán las medidas oportunas para proteger a los clientes finales y, en particular, garantizarán una protección adecuada de los clientes vulnerables”. También alude a los antecedentes legislativos del bono social, comenzando por el Real Decreto-ley 6/2009, de 30 de abril, por el que se adoptaron determinadas medidas en el sector energético y se aprobó el bono social: en su preámbulo se reflejaba el objeto al que respondía esa medida, y en el art. 2.5 y en la disposición transitoria segunda se establecía el régimen de financiación del bono social. Esas disposiciones, señala el Ministerio Fiscal, fueron enjuiciadas en la sentencia de la Sala de lo Contencioso-Administrativo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las de la Orden ITC/1723/2009, de desarrollo de aquel, sin plantear cuestión prejudicial ante el Tribunal de Justicia, por considerar que el sentido de la directiva ya había sido aclarado en la sentencia de dicho Tribunal Europeo de 20 de abril de 2010, dictada en el asunto Federutility. Ello condujo a la referida Sala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a continuación, que, según la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acuerdo a lo preceptuado en el art. 267 TFUE.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dejan de aplicar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a lo expuesto menciona la STC 232/2015, de 5 de noviembre, FJ 5, en la que se pone de relieve que la inaplicación de una ley interna por entenderla incompatible con el Derecho de la Unión Europea, sin previamente formular cuestión prejudicial ante el Tribunal de Justicia,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24.1 CE, el carácter fundado de una resolución judicial que no aplica una norma legal vigente por su oposición al Derecho europeo, sin suscitar cuestión prejudicial, habrá de estar a lo establecido por la propia doctrina del Tribunal de Justicia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asunto Dhabi contra Italia, también pone de manifiesto, en relación con el derecho al proceso debido reconocido en el art 6.1 del Convenio europeo de derechos humanos, que los órganos judiciales nacionales deben justificar, de acuerdo con la doctrina del Tribunal de Justicia, los supuestos en los que deciden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en los casos en que no se plantea la cuestión prejudicial y no se aplica directamente la norma legal nacional, se incide en la integridad del ordenamiento jurídico, al eludir también el control de la cuestión de inconstitucionalidad, sobre la base de la primacía del Derecho de la Unión. Así, en la citada STC 78/2010, el Tribunal Constitucional entró a enjuiciar, en el caso que examinaba, el carácter fundado de la resolución que no había aplicado la norma legal vigente, sin plantear cuestión prejudicial, por estimar que ya existía una decisión prejudicial del Tribunal de Justicia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resume la argumentación judicial dada a favor de omitir la cuestión prejudicial. En el fundamento jurídico 8 de la sentencia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STJUE de 20 de abril de 2010 recaída en el asunto Federutility, que la referida resolución consideró como “acto aclarado”. En relación con el presente supuesto, el órgano judicial también considera que existen decisiones prejudiciales del Tribunal de Justicia en casos análogos; en concreto, la ya citada sentencia de 20 de abril de 2010, dictada en al asunto Federutility, y la de 7 de septiembre de 2016,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era contrario a lo dispuesto en el art. 3.2 de la Directiva 2009/72/CE, pues no cumplía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de que el Tribunal Supremo no ha justificado realmente que concurra un supuesto de “acto aclarado”. Según manifiesta, el citado tribunal se ha limitado a expresar una declaración de voluntad, que es la de estimar que la decisiones del Tribunal de Justicia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que se pronuncian sobre la interpretación de las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considera que no se ha apreciado correctamente la doctrina del “acto aclarado”, pues el objeto de la decisión prejudicial que fue resuelta por el Tribunal de Justicia en el asunto Anode no puede ser considerado idéntico o análogo al presente; que se trata de directivas distintas, cuya aplicación se proyecta sobre los mercados interiores de dos productos energéticos diferentes (gas y energía);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no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Cilfit. También incide a favor de esas dudas la existencia de un voto particular contra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concluye que se han vulnerado los derechos fundamentales a la tutela judicial efectiva sin indefensión y al proceso debido (arts. 24.1 y 2 CE), pues se ha incurrido en un exceso de jurisdicción al pronunciarse la Sala de lo Contencioso-Administrativo del Tribunal Supremo sobre la incompatibilidad de la norma legal con el Derecho europeo al margen del proceso debido, vulnerando el sistema de fuentes, al no aplicar directamente la norma legal vigente y eludir indebidamente el mecanismo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fiscalía interesa que se declare la vulneración por la sentencia y auto impugnados del derecho fundamental a la tutela judicial efectiva sin indefensión del art. 24.1 CE, y del derecho al proceso debido del art. 24.2 CE, al haber inaplicado, directamente, el Tribunal a quo la norma legal vigente, por estimarla contraria a la directiva europea sin plantear cuestión prejudicial europea. Para el restablecimiento de los derechos fundamentales que han sido vulnerados procede declarar la nulidad de la sentencia y el auto impugnados en el recurso, con retroacción de las actuaciones al objeto de que por la Sala de lo Contencioso-Administrativo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13 de junio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sentencia recaída en el recurso de casación núm. 3374-2015, dictada por la Sección Tercera de la Sala de lo Contencioso-Administrativo del Tribunal Supremo en fecha 14 de diciembre de 2017, así como el auto de 26 de enero de 2018, de la misma Sala y Sección, que desestimó el incidente de nulidad de actuaciones promovido por la ahora recurrente frente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son sustancialmente coincidentes con los que ya han sido abordados por el Pleno del Tribunal Constitucional en nuestra reciente STC 37/2019, de 26 de marzo (recurso de amparo núm. 593-2017), a cuyos fundamentos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pretensión de pérdida sobrevenida de objeto (STC 37/2019, FJ 2), y de falta de legitimación de la administración demandante [STC 37/2019, FJ 3 a)], y debemos dar por reproducidos los fundamentos jurídicos 4 a 6 de la referida sentencia, por los que, tras exponer la doctrina constitucional sobre el planteamiento de la cuestión prejudicial y examinar el pronunciamiento de la Sala Tercera del Tribunal Supremo objeto del recurso de amparo, consideramos vulnerado el derecho a un proceso con todas las garantías (art. 24.2 CE) debido a la insuficiente motivación de la sentencia en lo relativo a la existencia de “acto aclarado” y a la ausencia de los presupuestos necesarios para apreciar que concurriera dicho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estimar el recurso de amparo por vulneración del derecho a un proceso con todas las garantías (art. 24.2 CE) y declarar la nulidad de la sentencia y el auto objeto de impugnación, con retroacción de actuaciones al momento inmediatamente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14 de diciembre de 2017 de la Sección Tercera de la Sala de lo Contencioso-Administrativo del Tribunal Supremo y el auto de 26 de enero de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para que el indicado órgano judicial dicte nueva resolución que sea respetuosa con el derecho fundamental vulnerado, en los términos expresados en el fundamento jurídico sexto de la STC 37/2019, de 26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la Sala Primera de 17 de junio de 2019 dictada en el recurso de amparo núm. 1342-2018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1342-2018.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37/2019, de 26 de marzo, mostrando mi parecer opuesto a la legitimación de la Administración General del Estado para solicitar en amparo la protección de sus derechos fundamentales.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junio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