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5549-2018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5549-2018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114-2018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octubre de 2018, la entidad Penrei Inversiones, S.L., representada por la procuradora de los Tribunales doña Blanca Berriatua Horta y bajo la dirección de la letrada doña Anju Nirmala Benavent Rodríguez, interpuso recurso de amparo contra los autos dictados por el Juzgado de Primera Instancia e Instrucción núm. 3 de Lorca en el procedimiento de ejecución hipotecaria núm. 114-2018 en fechas 28 de junio y 14 de septiembre de 2018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3 de Lorca se sigue procedimiento de ejecución hipotecaria núm. 114-2018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23 de abril de 2018 se acordó despachar ejecución frente las sociedades demandadas. El citado auto y el decreto de la misma fecha que le sigue fueron comunicados a las citadas entidades a través de la sede judicial electrónica el día 28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Penrei Inversiones, S.L., presentó escrito de oposición a la ejecución despachada con fecha 26 de junio de 2018. Por auto de 28 de junio de 2018 se acordó su inadmisión por presentación extemporánea, tomando como fecha de notificación el 28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28 de abril de 2018 sino el 13 de junio de 2018 y que la comunicación remitida a través de la dirección electrónica habilitada no puede entenderse más que un aviso de puesta a disposición o descarga de su contenido durante un plazo determinado (en el caso desde el 28 de abril al 13 de junio de 2018) y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recurso fue tramitado y resuelto por auto de 14 de septiembre de 2018 en sentido desestimatorio al constatar su condición de persona jurídica y la obligación que como tal tiene de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del art. 373.3 LEC y determina que la recurrente “yerra en el plazo en el que puede acceder a su contenido a efectos de la práctica de la notificación el cual es de 10 días naturales desde la puesta a su disposición y ello por imperativo del art. 43 de la citada Ley 39/2015, de 1 de octubre, del Procedimiento Administrativo Común de las Administraciones Públicas” que reproduce.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28 de abril de 2018 hasta el 13 de junio de 2018. Si no procediera a su lectura en el plazo indicado se producirán los efectos correspondientes, según la normativa aplicable. Para que conste como leída, por favor acceda a http://notificaciones060.es Asunto: JDO. 1 INST. E INSTR. N 3 DE LORCA EHJ/00000114/2018”.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junio de 2019 la Sección Primera de este Tribunal acordó admitir a trámite el recurso de amparo y dirigir comunicación al Juzgado de Primera Instancia e Instrucción núm. 3 de Lorca,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21 de junio de 2019, la parte demandante formuló sus alegaciones, reiterando lo dicho en el otro sí de su demanda y trascribiendo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1 de julio de 2019, interesa que se acuerde la anotación preventiva de la demanda en el registro de la propiedad, aunque esta última medida no haya sido solicitada en el recurso de amparo. Tras exponer la doctrina de este Tribunal sobre suspensión de resoluciones y actos impugnados, considera que la aplicación al caso de dicha doctrina nos debe llevar a considerar que nos encontramos en uno de esos supuestos en que, de no adoptarse la medida de anotación preventiva de la demanda, la tutela que pudiera otorgarse por este Tribunal no sería completa si se deja abierta la posibilidad de que la finca sea transmitida a un tercero de buena fe mientras se sustancia y resuelve el presente recurso de amparo, por lo que interesa la anotación preventiva de la demanda en el registro de la propiedad evitando así situaciones cuya reversibilidad sería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114-2018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114-2018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