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6021-2018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99-2018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noviembre de 2018, tuvo entrada en el registro general de este Tribunal Constitucional un escrito de la procuradora doña Blanca Berriatua Horta, en representación de la entidad Euroinversiones Inmobiliarias Costa Sur, S.L., por el que interpuso recurso de amparo contra el auto de 3 de septiembre de 2018 del Juzgado de Primera Instancia e Instrucción núm. 3 de Lorca, que inadmitió el escrito de oposición a la ejecución hipotecaria promovida por Banco de Sabadell, S.A., y contra el auto del mismo juzgado, de 28 de septiembre de 2018,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3 de septiembre de 2018, el juzgado de primera instancia e instrucción dictó un auto en el procedimiento de ejecución hipotecaria núm. 99-2018 por el que acordó: “Inadmitir a trámite la oposición formulada por la parte ejecutada Penrei Inversiones, S.L., y Euro Inversiones Inmobiliarias Costa Sur, S.L.”,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de la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28 de septiembre de 2018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 2 a) de la Ley 39/2015 LPAAP y art. 273. 3 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hierran en el plazo en el que puede acceder a su contenido a efectos de la práctica de la notificación, el cual es de diez días naturales desde la puesta a su disposición y ello por imperativo del art. 43 de la citada LPACAP (Ley 30/15). Así dice el artículo 43. 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24 de mayo de 2018 no accediendo al contenido hasta el día 9 de julio de 2018 (fuera de los diez días naturales), presentando los escritos de oposición a la ejecución en fecha 24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saber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3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del 28 de septiembre siguiente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si finalidad, por lo que solicito la suspensión de la continuación del procedimiento de ejecución hipotecaria 99-2018 seguido ante el Juzgado de Primer Instancia e Instrucción número 3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9 de abril de 2019 se presentó escrito por la representación procesal de la entidad recurrente, manifestando que puesto que este Tribunal no se había pronunciado todavía sobre la solicitud de suspensión de la continuación del proceso de ejecución hipotecaria 99-2018, instada en el segundo otrosí del escrito de demanda, “y dado que se ha dictado en el procedimiento Decreto por el que se acuerda sacar a pública subasta el bien ejecutado, nuevamente volvemos a solicitar al Alto Tribunal dado que la continuación de la ejecución derivadas de los pronunciamientos judiciales que han sido objeto de impugnación, con la celebración de subasta y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dicho escrito se acompañó copia de un decreto del letrado de la administración de justicia del juzgado a quo, de fecha 21 de febrero de 2019, por el que se aprueba sacar a la venta en pública subasta -a través del portal electrónico de la agencia estatal “BOE”— la vivienda objeto de ejecución en dicho procedimiento hipotecario; decreto que resultó parcialmente corregido por otro dictado por el mismo letrado el 20 de marzo de 2019 (a fin de añadir sesenta céntimos al importe de valoración de la finca: 213.514,60 €), del que también se aportó copia.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Sección Cuarta, de este Tribunal Constitucional, dictó providencia el 17 de junio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3 de Lorca a fin de que, en plazo que no exceda de diez días, remita certificación o fotocopia adverada de las actuaciones correspondientes al procedimiento de ejecución hipotecaria núm. 99-2018;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solicitud de actuaciones, sin perjuicio de la resolución que se acaba de mencionar la Secretaría de Justicia de la Sala Segunda de este Tribunal dictó con fecha 24 de junio de 2019 un oficio, requiriendo al letrado de la administración de justicia del juzgado de primera instancia e instrucción competente, “con el ruego de que disponga lo necesario a fin de que, a la mayor brevedad posible, remita a esta Sala certificación acreditativa de la interposición o no de recurso de apelación contra alguna de las resoluciones dictadas en las actuaciones principales o en alguna pieza separada en el procedimiento de ejecución hipotecaria seguido en ese juzgado con el número 99-2018, y si ha recaído resolución se remita a esta Sala testimonio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Hasta esta fecha no se ha recibido respuesta escrita a ese requerimiento, ni han llegado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17 de junio de 2019, se dispuso “formar con la precedente fotocopia, la oportuna pieza para la tramitación del incidente sobre suspensión y conforme determina el artículo 56 de la Ley Orgánica de este Tribunal, conceder un plazo común de 3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25 de junio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de 2013, reiterando a renglón seguido las vulneraciones constitucionales de fondo que aduce en su demanda, e indicando que el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1 de julio de 2019,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LOTC y reproducir lo declarado en el ATC 127/2015, de 20 de julio (cita por error 27 de julio), FJ 1, en relación con la necesidad de acreditar por el interesado la existencia de un perjuicio irreparable, para poder acordarse la suspensión de los actos impugnados en amparo, sostiene el fiscal que en el presente caso, la “suspensión solicitada comportaría la paralización del procedimiento ejecutivo que, por su propia naturaleza, goza de las características de celeridad y sumariedad pero, también es obvio que, de continuar el procedimiento este acabará con la subasta del bien hipotecado y con la eventual adjudicación a un tercero de buena fe lo que haría irreversible esa situación aun cuando el amparo solicitado prosperara. Para conseguir el efecto protector deseado por la recurrente y enervar los indeseados efectos de la paralización del procedimiento,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adquirente queda especialmente protegido por su buena fe en la adquisición”. Cita en apoyo de su petición el art. 56.3 LOTC, que permite al Tribunal adoptar toda medida que evite que el recurso de amparo pueda perder su finalidad, así como el ATC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de lo contrario “la tutela que pudiera otorgarse por este tribunal no sería completa si se deja abierta la posibilidad de que la finca sea transmitida a tercero de buena fe mientras se sustancia y resuelve el presente proceso de amparo, por lo que se interesa” su adopción.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99-2018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De las actuaciones judiciales que han sido remitidas por el Juzgado se desprende que el procedimiento se encuentra pendiente de la celebración de la subasta y que el inmueble sobre el que se sigue la ejecución, si bien se trata de una vivienda, no se ha alegado ni acreditado que sirva de domicilio social de la entidad demandante.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99-2018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