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3431-2018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720-2012, seguido en el Juzgado de Primera Instancia e Instrucción núm. 3 de Illescas.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de junio de 2018, don Luis Alfredo Carvajal Estrada, representado por la procuradora de los tribunales doña María Teresa Marcos Moreno y bajo la dirección del letrado don Juan Carlos Rois Alonso, interpuso recurso de amparo contra el auto de 8 de mayo de 2018 del Juzgado de Primera Instancia e Instrucción núm. 3 de Illescas, dictado en el procedimiento de ejecución hipotecaria núm. 720-2012, por el que se inadmitió el incidente de nulidad de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de crédito Caixa d`Estalvis Laietana presentó demanda de ejecución dineraria sobre bienes hipotecados respecto de una finca situada en la calle Ciudad Real número 30 de Palomeque (Toledo), contra el ahora demandante de amparo y doña Amparo Lourdes Guishcamaigua Guanotuña por impago de amortizaciones parciales e intereses pactados del préstamo garantizado con hipoteca para la adquisición de la mencionada finca, procediendo al vencimiento anticipado y exigiendo el pago de la cantidad de 194 953,11 €.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31 de julio de 2013 se dictó auto de ejecución general, requiriendo de pago al deudor, lo que se instrumentó en decreto de la misma fecha, expidiéndose el correspondiente mandamiento al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citado auto y el decreto de la misma fecha no se pudieron notificar personalmente al deudor por encontrarse la vivienda abandonada. Tras realizarse la pertinente averiguación patrimonial se notificaron por edictos, al amparo de lo previsto en el artículo 686.3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diligencia de 28 de octubre de 2014 se acordó sacar la vivienda a pública subasta, fijándose como fecha el 20 de febrero de 2015. Al no comparecer ningún licitador, la entidad de crédito solicitó la adjudicación de la finca por el 70 por 100 de la tasación, lo que se acordó por decreto de 26 de marzo de 2015, que se notificó a doña Amparo Lourdes Guishcamaigua Guanotuña.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de 9 de junio de 2016 la comisión judicial se desplazó para el lanzamiento y puesta en posesión del inmueble en favor de la adjudicataria.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demandante de amparo, mediante comparecencia en el juzgado, solicitó que se dejara sin efecto el lanzamiento y la suspensión de las actuaciones, todo ello por falta de notificación.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decreto de 17 de junio de 2016 se acordó dar traslado a las partes para oírles, respecto a la posible nulidad de actuaciones del acto de lanzamiento y toma de posesión del inmueble. Por decreto de 22 de junio de 2016 se acordó dicha suspensión mientras se tramitaba la correspondiente solicitud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20 de febrero de 2017 ambos ejecutados presentaron escrito de nulidad de actuaciones alegando que la citación y notificación del lanzamiento no se había llevado a cabo de manera personal sino por edictos, contraviniendo en su opinión lo que establece el Tribunal Constitucional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de 10 de mayo de 2017 se dejó sin efecto el lanzamiento. Este auto fue notificado el 10 de noviembre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7 de julio de 2017 se instó un nuevo incidente de nulidad de actuaciones y el 20 de noviembre se presentó un escrito en términos similares, que fueron proveídos conjuntamente.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auto de 8 de mayo de 2018 se acordó no haber lugar a la nulidad de actuaciones solicitada. Afirma el auto que “intentadas las notificaciones a los ejecutados en la vivienda objeto de ejecución hipotecaria, las mismas no fueron recepcionadas por la parte ejecutada, constando en autos como la parte ejecutante puso de manifiesto al Juzgado que el domicilio objeto de las pretendidas notificaciones se hallaba abandonado, lo cual fue conformado por la Agrupación de juzgados de Paz de Yuncos (Toledo)”, por lo que se acudió a la vía edictal. En cuanto al resto de las alegaciones, considera el auto que no cabe entrar en su análisis, “pues se trata de verdaderas causas de oposición a la ejecución, siendo la misma absolutamente extemporánea, dado el estadio procesal en el que nos encontramos. Las cláusulas cuya abusividad se pretende, no presentan caracteres que permitan, aun menos en este estadio procesal, la declaración de abusividad de oficio, debiendo continuar la tramitación de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en su recurso vulneración del derecho a la tutela judicial efectiva, en su vertiente de derecho de acceso a la justicia, por cuanto se ha vulnerado el derecho del ejecutado a obtener del juzgador, en el curso de un procedimiento de ejecución hipotecaria, un pronunciamiento expreso sobre las cláusulas abusivas. Alega también indefensión por defectuosa notificación de la demanda pues no se le notificó personalmente.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dicha ejecución haría perder al amparo su finalidad. Alega que de proseguirse con la ejecución resultaría que en un breve espacio de tiempo el recurrente se vería lanzado de su domicilio, objeto del proceso hipotecario, y privado de su derecho a la vivienda, con lo que el amparo que se interesa, que tiene que ver con la nulidad de una cláusula abusiva en el contrato hipotecario que ha valido de fundamento a la propia ejecución emprendida, se vería vacío de contenido. Afirma que la ejecución de la resolución causaría un perjuicio irreparable, privando al amparo solicitado de su finalidad última de impedir la ejecución que se pretende de contrario y la pérdida de la vivienda, pues no sería posible reponerle en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suspensión no supone perturbación grave para los intereses generales, toda vez que este proceso viene a reforzar el marco de garantías de los ciudadanos en su condición de consumidores y no genera ningún daño grave a los derechos o libertades de terceros por cuanto el recurrente sigue ocupando en la actualidad su vivienda y el adjudicatario de la misma es el propio banco.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julio de 2019 la Sección Primera de este Tribunal acordó admitir a trámite el recurso de amparo y dirigir comunicación al Juzgado de Primera Instancia e Instrucción núm. 3 de Illescas,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18 de julio de 2019, la parte demandante formuló sus alegaciones, reiterando lo dicho en el otrosí de su demanda y trascribiendo parte del ATC 58/2018, de 4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26 de julio de 2019, considera que procede acordar la suspensión o alternativamente la anotación de la demanda, aunque esta última no haya sido solicitada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doctrina de este Tribunal sobre suspensión de resoluciones y actos impugnados, considera que la medida de suspensión está justificada en este caso, pues si se consumara la transmisión de la vivienda al ejecutante o a aquel a quien hubiere cedido su derecho, posteriores transmisiones a título oneroso a terceras personas colocarían al bien en una situación de difícil recuperación, pues lo convertirían en prácticamente irreivindicable. No obstante, señala que, dado el tiempo transcurrido desde que se presentó la demanda de amparo, no es impensable que la diligencia de lanzamiento a día de hoy se haya llevado a término, lo que provocaría que la transmisión se hubiere ya consumado, en cuyo caso acordar la suspensión solicitada no solucionaría los posibles perjuicios que se temen por una actuación de futuro. Por ello, entiende que sería mucho más eficaz para conseguir el efecto protector deseado por el recurrente,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quede especialmente protegido por su buena fe en la adquisición.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720-2012 seguido en el Juzgado de Primera Instancia e Instrucción núm. 3 de Illescas.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límites fijados por la Ley Orgánica del Tribunal Constitucional a la suspensión determinan que esta se configure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recurridos que alegue, pruebe o justifique, ofreciendo un principio razonable de prueba, la irreparabilidad o la dificultad de la reparación de los perjuicios que derivarían de seguirse la ejecución del acto impugnado, ya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viene admitiendo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que resulta medida suficiente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del bien a terceros puede hacer perder al recurso de amparo su finalidad, al no añadir indicación alguna sobre su situación y circunstancias actuales así como sobre las características, destino y estado posesorio del inmueble hipotecado. Solo consta que la diligencia de lanzamiento que se intentó llevar a cabo en junio de 2016 quedó suspendida, pero no consta cuál es la situación actual. Aunque pudiéramos pensar, como alega el ministerio fiscal, que dado el tiempo transcurrido desde la interposición del recurso de amparo, 15 de junio de 2018, el lanzamiento de la vivienda se haya podido llevar ya a término, lo cierto es que el recurrente, en su escrito de alegaciones presentado el 17 de julio de 2019, no pone en ningún momento de manifiesto que la transmisión de la vivienda a un tercero se haya consumado, ni que esté pendiente una próxima fecha de lanzamiento, sino que simplemente insiste en solicitar la suspensión de la resolución judicial para evitar que la transmisión de la posesión de la vivienda a un tercero haga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de acuerdo con el ministerio fiscal,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88/2018, de 17 de septiembre, y 2/2019, de 9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Procede, por todo ello,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720-2012, seguido en el Juzgado de Primera Instancia e Instrucción núm. 3 de Illescas.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