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4763-2017, promovido por el ayuntamiento de Sobrescobio (Asturias), contra la sentencia de la Sección Cuarta de la Sala de lo Contencioso-Administrativo de la Audiencia Nacional de 8 de noviembre de 2016, que desestimó el recurso planteado por dicho ayuntamiento contra la inactividad del Instituto para la Reestructuración de la Minería del Carbón y Desarrollo Alternativo de las Comarcas Mineras. Han intervenido el Ministerio Fiscal y el abogado del Estado.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octubre de 2017, la procuradora de los tribunales doña Virginia Aragón Segura, en nombre y representación del ayuntamiento de Sobrescobio, interpuso recurso de amparo contra la sentencia de la Sección Cuarta de la Sala de lo Contencioso-Administrativo de la Audiencia Nacional de 8 de noviembre de 2016, por vulneración del principio de igualdad en la aplicación judicial de la ley (art. 14 CE), con reflejo en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marco del plan nacional de reserva estratégica del carbón 2006-2012 y del nuevo modelo de desarrollo integral y sostenible de las comarcas mineras, aprobado por el Consejo de Ministros en su reunión de 31 de marzo de 2006, así como del Real Decreto 1112/2007, de 24 de agosto, por el que se establece el régimen de ayudas al desarrollo de infraestructuras en las comarcas mineras del carbón, se inició la tramitación de dos convenios específicos de colaboración, con cargo a las ayudas al desarrollo de las infraestructuras en las comarcas mineras con la intervención del Instituto para la Reestructuración de la Minería del Carbón y Desarrollo Alternativo de las Comarcas Mineras (en adelante Instituto del Carbón), el Principado de Asturias y el ayuntamiento de Sobrescobio. Los citados convenios específicos de colaboración tenían por objeto: i) la adquisición de terrenos para la biblioteca municipal y telecentro por importe de 280.000 € y ii) la adquisición de terrenos para infraestructuras turísticas por importe de 143.000 €.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firmados los dos convenios por el ayuntamiento de Sobrescobio y por el Principado de Asturias, se remitieron el 30 de noviembre de 2010 al Instituto del Carbón para su tramitación y firma definitiva. Al no recibir ninguna información o comunicación al respecto, el ayuntamiento de Sobrescobio dirigió varios escritos a dicho organismo solicitando información sobre el estado de tramitación de los convenios, lo que hizo en fechas 9 de octubre de 2012 y 13 de febrero, 4 de junio, 30 de julio y 10 de octubre de 2013, sin recibir contestación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ayuntamiento de Sobrescobio presentó el 12 de mayo de 2014, de conformidad con lo previsto en el art 29.1 de la Ley 29/1998, de 13 de julio, de la jurisdicción contencioso-administrativa (LJCA), reclamación previa al recurso contencioso-administrativo por inactividad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27 de mayo de 2014 el Instituto del Carbón contestó a la reclamación previa. Tras hacer una exposición cronológica de las vicisitudes del caso, concluyó que ninguna de las dos actuaciones había llegado a tener un convenio firmado. Según el citado organismo, los convenios proyectados para 2010 no culminaron porque la intervención delegada no los había fiscalizado favorablemente, por no cumplirse uno de los requisitos formales, relativo a la exigencia de aportar certificados del valor de los inmuebles emitidos por un tasador independiente o un funcionario competente. Añade que en 2011 volvió a iniciarse la tramitación de los convenios pero no llegaron a firmarse por “razones de índole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ayuntamiento de Sobrescobio interpuso recurso contencioso-administrativo por inactividad del Instituto del Carbón, de conformidad con el art. 29.1 LJCA, que se tramitó con el núm. 84-2014 ante el Juzgado Central de lo Contencioso-Administrativo núm. 5. En el escrito de demanda el ayuntamiento solicitaba el dictado de una sentencia por la que, con estimación de la inactividad de dicho instituto, ordenase a la administración demandada: i) la realización de los actos necesarios para la ejecución del pago de las cantidades previstas en los convenios específicos y ii) subsidiariamente, el restablecimiento de la tramitación oportuna de los convenios para su inmediata ejecución y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Central de lo Contencioso-Administrativo núm. 5 dictó sentencia el día 4 de septiembre de 2015, inadmitiendo la demanda del ayuntamiento de Sobrescobio. El juzgado consideró probado que, tras una primera propuesta en 2010 que no recibió fiscalización favorable por la intervención por no ir acompañada de las tasaciones exigibles, se inició de nuevo la tramitación en 2011, que por razones presupuestarias no fue ultimada, de suerte que no ha existido un convenio del que deriven las concretas obligaciones exigidas. Toda vez que la actividad reclamada necesita todavía de actos concretos de aplicación, entiende que no se cumple el presupuesto del art. 29.1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sentencia del Juzgado Central se interpuso recurso de apelación, que fue desestimado por sentencia dictada el 8 de noviembre de 2016 por la Sección Cuarta de la Sala de lo Contencioso-Administrativo de la Audiencia Nacional. La Sala comparte las apreciaciones del juzgado, indicando que la sentencia apelada concreta las razones por las que no existía una obligación definida a favor del demandante al no haberse obtenido la fiscalización favorable del convenio. La Audiencia Nacional considera decisivo que no se hubiera completado el procedimiento presupuestario y, por consiguiente, no hubiera llegado a nacer la obligación de pago. Insiste en que los informes de tasación no fueron aportados por el ayuntamiento en tiempo y forma y que cuando, al siguiente ejercicio presupuestario, se reinició la tramitación, fue paralizada por razones presupuestarias. En suma, la obligación no llegó a perfeccionarse.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sentencia desestimatoria de la apelación, el ayuntamiento de Sobrescobio interpuso recurso de casación, que fue inadmitido por providencia de fecha 20 de julio de 2017, dictada por la Sección Primera de la Sala de lo Contencioso-Administrativo del Tribunal Supremo, al haber considerado que el recurso carecía de interés casacional objetivo. El ayuntamiento de Sobrescobio presentó, a continuación,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corporación demandante de amparo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dictada el día 8 de noviembre de 2016 por la Sección Cuarta de la Sala de lo Contencioso-Administrativo de la Audiencia Nacional ha lesionado su derecho fundamental a la igualdad en la aplicación judicial de la ley (art. 14 CE), con reflejo en el derecho a la tutela judicial efectiva (art. 24.1 CE), por cuanto que este mismo órgano judicial (misma Sala y Sección), en precedente sentencia de 16 de septiembre de 2015, había estimado un recurso contencioso-administrativo formalizado por el ayuntamiento de Belmez (Córdoba) que, a través del procedimiento previsto en el art 29.1 LJCA, había planteado un supuesto igual de inactividad del Instituto del Carbón respecto de un convenio específico de ayudas al desarrollo de infraestructuras en las comarcas mineras.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transcribe amplios extractos de la sentencia invocada, en los que se hace constar que el Real Decreto 1112/2007 (art. 14.4) establece un plazo máximo de seis meses para la firma de los convenios específicos entre el Instituto del Carbón y los ayuntamientos respectivos, por lo que, una vez excedido dicho plazo, la inactividad de la administración no está justificada en absoluto y mantener la resolución recurrida equivaldría a dejar en manos de la administración la rúbrica de un convenio que le obliga.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Sobrescobio se pregunta cómo un mismo órgano judicial puede mantener un criterio “diametralmente opuesto” en relación con el aplicado, en un intervalo de menos de un año, respecto de lo que acordó en el recurso del ayuntamiento de Belmez. Aclara que la sentencia que estima el recurso de este ayuntamiento no fue citada en la demanda porque, al tiempo de presentarse esta, aún no había sido incorporada a las bases de datos de jurisprudencia. Añade que otra sentencia anterior del mismo órgano, la de 16 de abril de 2014, sobre una reclamación seguida a instancias del Principado de Asturias, también concluyó que la administración del Estado había incurrido en inactividad en relación con unos convenios específicos del Real Decreto 1112/2007.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alude a la doctrina constitucional sobre el principio de igualdad en la aplicación de la ley, con cita de la STC 27/2006, de 30 de enero, y aduce que concurren todos los requisitos exigidos por la doctrina de este Tribunal para apreciar su vulneración. Entiende que no puede el mismo órgano judicial mantener, en un breve lapso de tiempo, lo uno y lo otro, sin una motivación que justifique, en términos generalizados, este cambio de criterio. Añade que todos los ayuntamientos que se ven inmersos en la tramitación de los fondos mineros deben recibir un tratamiento uniforme en la aplicación de la normativa y que no cabe poner en un plano legal a los vecinos de Belmez y en otro distinto a los de Sobrescobio.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corporación demandante termina solicitando que, para el restablecimiento de sus derechos fundamentales de los arts. 14 y 24.1 CE, sea declarada la nulidad de la sentencia de la Sección Cuarta de la Sala de lo Contencioso-Administrativo de la Audiencia Nacional de 8 de noviembre de 2016, retrotrayendo las actuaciones al momento inmediatamente anterior para que se dicte nueva sentencia que sea respetuosa con los derechos que la parte entiende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14 de enero de 2019, la Sección Cuarta de este Tribunal acordó admitir a trámite el recurso de amparo, apreciando que en el mismo concurre una especial trascendencia constitucional (art. 50.1 de la Ley Orgánica del Tribunal Constitucional) porque el recurso puede dar ocasión al Tribunal para aclarar o cambiar su doctrina, como consecuencia de un proceso de reflexión interna [STC 155/2009, FJ 2 b)], y porque el asunto suscitado trasciende del caso concreto, ya que plantea una cuestión jurídica de relevante y general repercusión social o económica [STC 155/2009, FJ 2 g)]. En la misma providencia se acordó remitir atenta comunicación a la Sección Primera de la Sala de lo Contencioso-Administrativo del Tribunal Supremo y a la Sección Cuarta de la Sala de lo Contencioso-Administrativo de la Audiencia Nacional, a fin de que, en plazo no superior a diez días, remitieran certificación o fotocopia adverada de las actuaciones correspondientes al recurso de casación núm. 2623-2017 y al recurso de apelación núm. 102-2015. Asimismo, se acordó dirigir atenta comunicación al Juzgado Central de lo Contencioso-Administrativo núm. 5, a fin de que, en plazo no superior a diez días, remitiera certificación o fotocopia adverada de las actuaciones correspondientes al procedimiento ordinario núm. 84-2014; debiendo previamente emplazarse, para que en el plazo de diez días, pudieran comparecer en el recurso de amparo, si lo deseaban,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registrado en este Tribunal el día 18 de marzo de 2019, interesó la estimación del recurso de amparo,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recuerda la doctrina constitucional sobre el principio de igualdad en la aplicación de la ley, con cita de la STC 160/2008, de 12 de diciembre. Acto seguido, examina la concurrencia de los requisitos exigidos, y constata que: i) se invoca un término de comparación, que es la sentencia de la Sección Cuarta de la Sala de lo Contencioso-Administrativo de la Audiencia Nacional de 16 de septiembre de 2015, estimatoria de una reclamación análoga presentada por el ayuntamiento de Belmez; ii) concurre la identidad de órgano judicial, pues las sentencias comparadas provienen de la misma Sala y Sección; iii) existe alteridad, pues se trata de ayuntamientos distintos y iv) hay un tratamiento desigual de la misma cuestión carente de justificación, sin que el órgano judicial haya justificado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Analiza, a renglón seguido, el requisito de comparabilidad de los casos, advirtiendo una diferencia entre las dos sentencias, pues la de 16 de septiembre de 2015 se dictó en primera y única instancia, mientras que la aquí impugnada recae en un recurso de apelación contra la sentencia del Juzgado Central de lo Contencioso-Administrativo núm. 5. Considera, sin embargo, que esta diferencia carece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circunstancias, entiende que son plenamente comparables: i) en los dos recursos contencioso-administrativos el núcleo de la cuestión planteada por los ayuntamientos recurrentes es la inactividad del Instituto del Carbón en la tramitación definitiva de los convenios específicos de colaboración para la obtención de las ayudas al desarrollo de infraestructuras en las comarcas mineras del carbón, y en el pago de las ayudas que son el objeto de los convenios de colaboración; ii) en ambos casos, también, los ayuntamientos que interpusieron los recursos por inactividad habían formulado la reclamación previa ante el Instituto del Carbón, de conformidad con lo establecido en el art 29.1 LJCA; iii) la contestación dada por dicho organismo fue similar, poniendo de manifiesto diversas incidencias que impidieron la tramitación y firma definitiva del convenio específico y señalando, igualmente, que había sido objeto de varias tramitaciones en sucesivos ejercicios, sin que en ninguna de ellas se hubiera ultimado el convenio; iv) las pretensiones eran también coincidentes, pues tanto el ayuntamiento de Belmez como el de Sobrescobio había solicitado el reconocimiento de la inactividad de la administración en la tramitación y firma definitiva de los convenios, por lo que, en consecuencia, habían interesado la condena al pago del importe de las ayudas y v) por último, las sentencias cotejadas han hecho una aplicación contradictoria del art. 29.1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Profundizando en el contraste de las dos sentencias, la fiscal destaca que, según la resolución impugnada, no hay una obligación prestacional concreta a cargo del Instituto del Carbón, ya que no existieron convenios definitivamente firmados. En cambio, la sentencia de 16 de septiembre de 2015 (ayuntamiento de Belmez) analiza el mecanismo del art. 29.1 LJCA y los presupuestos para su utilización, a la luz de la jurisprudencia del Tribunal Supremo, que había quedado reflejada en la sentencia de la Audiencia Nacional de 16 de abril de 2014. En vista de dicha jurisprudencia, entiende que, en tales casos, concurre un supuesto de inactividad administrativa injustificada y que, de no apreciarse esta, se dejaría sin efecto una obligación previamente contraída en relación con la subvención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Ministerio Fiscal razona que el diferente criterio en uno y otro caso no aparece justificado. En la sentencia impugnada no se motiva el cambio de criterio, ni se hace referencia alguna a esa sentencia anterior que se había dictado en un caso sustancialmente igual. Tampoco se ofrece ningún razonamiento implícito o explícito que permita conocer los motivos por los que no se sigue el criterio mantenido en la resolución previa, ni siquiera para indicar que concurrían en el caso enjuiciado posteriores circunstancias objetivas diferenciadoras. Ni se alude a la sentencia de 16 de abril de 2014, que sí había sido expresamente alegada en el recurso. No existiendo dicha justificación, concluye que se ha lesionado el art. 14 CE. En cuanto a la también invocada lesión del derecho a la tutela judicial efectiva del art. 24.1 CE, la fiscal considera que no es autónoma, sino que se produce en conexión directa con la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por escrito registrado el día 18 de marzo de 2019 presentó su escrito de alegaciones el abogado del Estado interesando la inadmisión o, subsidiariamente, la desestimación del recurso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sostiene que el recurso es inadmisible porque no se ha interpuesto incidente de nulidad de actuaciones contra la sentencia impugnada. Recuerda que la demanda de amparo ha sido presentada inmediatamente después de la inadmisión del recurso de casación, omitiendo el incidente de nulidad contra la sentencia de instancia a la que se imputa la vulneración. Razona que, con fundamento en el art. 241.1, párrafo segundo, de la Ley Orgánica del Poder Judicial, el incidente era exigible, invocando, en apoyo de esta tesis, el ATS de 11 de diciembre de 2017, que aborda la procedencia del incidente de nulidad una vez inadmitido un recurso de casación bajo el régimen de los arts. 86 y ss. LJCA, tras la modificación introducida por la Ley Orgánica 7/2015, de 21 de julio; auto del que extracta varios pasajes. Cita, asimismo, el ATC 65/2018, de 18 de junio, que considera exigible acudir al recurso de casación antes de interponer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el abogado del Estado considera que no hay identidad sustancial entre el caso resuelto por la sentencia impugnada y la que se invoca como contradictoria, por lo que no se produce la vulneración del derecho a la igualdad en la aplicación de la ley. Como razona la sentencia impugnada en amparo, lo decisivo en la argumentación del órgano judicial no era la falta de firma por el Secretario de Estado competente sino que el convenio no había obtenido la fiscalización favorable de la intervención. Y esto había sucedido porque, por expresa solicitud del ayuntamiento, el convenio no había incorporado la peritación de los inmuebles, afirmación que la corporación demandante no niega.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representante estatal traen a colación la normativa presupuestaria para recordar que una cosa es la aprobación del gasto de una subvención, que es un paso previo (art. 34.1 de la Ley 38/2003, de 17 de noviembre, general de subvenciones), y otra el compromiso de gasto que supone la concesión de la subvención (art. 34.2 de la Ley 38/2003). Este último requiere de la fiscalización favorable de la Intervención, que aquí no se emitió, por lo que no se completó el procedimiento presupuestario, de modo que no existe una subvención concedida que otorgue derechos al reclamante. El problema no es, por tanto, la falta de firma del convenio en 2010, sino la fiscalización desfavorable que hace inviable la firma y el pago. Fue por ello —añade— que se inició la tramitación de nuevos convenios en 2011 que no fue completada, luego no había un convenio firmado cuyo cumplimiento se pudiera exigir con base en el art. 29.1 LJCA. Así pues, la estimación de la pretensión subsidiaria llevaría a obligar a la administración a realizar toda la tramitación del procedimiento, no solo a ejecutar un acto concreto de firma y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caso resuelto por la sentencia de la Audiencia Nacional de 16 de septiembre de 2015 es, para el abogado del Estado, diferente, pues allí el convenio estaba completamente tramitado y solo se reclamaba su firma efectiva y pago, al constar ya los informes favorables de la abogacía del Estado, de la comisión delegada del gobierno para política autonómica y de la intervención, tal y como se desprende de los antecedentes de hecho de la citada sentencia, que trascribe los aspectos relevantes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alegaciones del abogado del Estado terminan recordando que lo proscrito por la doctrina constitucional sobre el principio de igualdad en la aplicación judicial de la ley es un cambio de criterio caprichoso en casos sustancialmente iguales, sin una argumentación razonada que justifique que la solución dada no es una respuesta ad casum, sino una interpretación abstracta y general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en el caso enjuiciado, no hay un tertium comparationis válido, puesto que en la sentencia de contraste se resolvía un caso en el que el gasto ya se había comprometido y la tramitación administrativa y presupuestaria había finalizado, faltando solo la rúbrica. En cambio, en el presente caso no se obtuvo la fiscalización favorable por un defecto imputable al ayuntamiento. En consecuencia, solicita la desestimación del recurso de amparo por no tratarse de supuestos sustancialmente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 la Sección Cuarta de la Sala de lo Contencioso-Administrativo de la Audiencia Nacional de 8 de noviembre de 2016, que desestimó el recurso de apelación interpuesto por el ayuntamiento de Sobrescobio contra la precedente sentencia del Juzgado Central de lo Contencioso-Administrativo núm. 5 de 4 de septiembre de 2015. Esta última sentencia, a su vez, había inadmitido el recurso presentado por dicho ayuntamiento frente a la inactividad (art. 29.1 de la Ley 29/1998, de 13 de julio, reguladora de la jurisdicción contencioso-administrativa, LJCA) del Instituto para la Reestructuración de la Minería del Carbón y Desarrollo Alternativo de las Comarcas Mineras (en adelante, Instituto del Carbón), organismo autónomo adscrito, en los años relevantes para el proceso a quo, al Ministerio de Industria, Energía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que la citada sentencia de la Audiencia Nacional vulnera el principio de igualdad en la aplicación judicial de la Ley (art. 14 CE), con reflejo en el derecho a la tutela judicial efectiva (art. 24.1 CE), al seguir un criterio distinto que la dictada por la misma Sala y Sección el 16 de septiembre de 2015, respecto de otro ayuntamiento. El Ministerio Fiscal interesa la estimación del recurso de amparo, al entender que concurren los requisitos que exige la doctrina constitucional para apreciar una desigualdad en la aplicación judicial de la ley. Por su parte, el abogado del Estado postula la inadmisión, por no haberse agotado la vía judicial previa y, subsidiariamente, la desestimación, por considerar que los casos resueltos por las sentencias contrastadas no son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el óbice procesal de falta de agotamiento de la vía judicial previa [art. 44.1 a) de la Ley Orgánica del Tribunal Constitucional: LOTC] porque, una vez inadmitido el recurso de casación por falta de interés casacional objetivo para la formación de jurisprudencia, se acudió directamente al recurso de amparo, cuando, a su entender, procedía interponer antes el incidente de nulidad de actuaciones previsto en el art. 241 de la Ley Orgánica del Poder Judicial (LOPJ) ante el órgano que dictó la resolución impugnada, a fin de salvaguardar la subsidiariedad de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al óbice planteado por el abogado del Estado hemos de acudir al análisis de las actuaciones seguidas ante la vía judicial previa, al objeto de constatar si realmente la ahora denunciada vulneración del principio de igualdad en la aplicación de la ley fue precedentemente invocada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advertido que, en el apartado IV, primero del escrito de preparación del recurso de casación, cuando la corporación recurrente argumenta sobre el posible interés casacional objetivo de su impugnación, señala expresamente que la sentencia recurrida “se apartaba de la fundamentación de su propia doctrina” y, seguidamente, cita de modo expreso las sentencias de 16 de abril de 2014 y de 16 de septiembre de 2015 de la misma Sección Cuarta de la Sala de lo Contencioso-Administrativo de la Audiencia Nacional, que son las mismas sentencias que las que ahora, en este trámite de amparo, la parte identifica como los términos de comparación sobre los que sustenta su pretensión de amparo. De modo literal, destaca en la pág. 8 de su escrito que “cuando el criterio dispar se produce en sentencias de la misma Sección de la misma Sala, la situación desde un punto de vista jurídico resulta más relevante aún, pues incluso, si ese cambio de criterio no viene debidamente motivado o explicitado en la propia resolución, se produce una violación del derecho constitucional a la igualdad ante la ley, previsto en el artículo 14 de nuestra Constitución, como reiteradamente tiene declarado nuestro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era preciso en el caso de autos la promoción del incidente extraordinario de nulidad de actuaciones para agotar la vía judicial previa, toda vez que la alegada vulneración del derecho a la igualdad que ahora denuncia la parte demandante ya había sido introducido por ésta en el debate procesal suscitado en la vía judicial, especialmente en el trámite de 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reciente STC 112/2019, de 3 de octubre, del Pleno de este Tribunal, con ocasión de conocer de un supuesto en que la Sala de lo Contencioso-Administrativo del Tribunal Supremo hubo inadmitido un recurso de casación por falta de interés casacional para la formación de jurisprudencia, supuesto éste semejante al de autos, ha declarado que, cuando el recurso interpuesto contra la resolución que se estima lesiva de derechos fundamentales haya sido inadmitido por razones procesales no imputables a la falta de diligencia de la parte, no es obligado promover el incidente de nulidad de actuaciones para agotar la vía judicial previa, por no deducirse su exigencia del art. 241 LOPJ, ni requerirse para salvaguardar la subsidiariedad del recurso de amparo [FJ 3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las consideraciones expuestas, procede la desestimación del óbice opuesto por el abogado del Estado en su escrito de alegaciones, de conformidad con lo establecido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 y análisis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 el óbice procesal invocado por el abogado del Estado, debemos analizar si la sentencia impugnada ha vulnerado el principio de igualdad en la aplicación judicial de la ley (art. 14 CE) y, en conexión con el mismo,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consolidada doctrina constitucional sobre la igualdad en la aplicación judicial de la ley queda sintetizada, entre muchas otras, en la STC 13/2011, de 28 de febrero, FJ 3, con cita de la STC 31/2008, de 25 de febrero, FJ 2, según las cuales los requisitos concurrentes para apreciar la lesión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sólo puede realizarse sobre la comparación entre la sentencia impugnada y las precedentes resoluciones del mismo órgano judicial dictadas en casos sustancialmente iguales pero resueltos de forma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la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carente de fundamentación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doctrina,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Sobrescobio invoca como tertium comparationis la sentencia de la Sección Cuarta de la Sala de lo Contencioso-Administrativo de la Audiencia Nacional de 16 de septiembre de 2015, estimatoria de una reclamación presentada al Instituto del Carbón por el ayuntamiento de Belmez. No ofrece duda la concurrencia de los requisitos b) y c) que se acaban de transcribir, es decir, la identidad de órgano judicial, pues se trata de resoluciones de la misma Sala y Sección; y la alteridad, ya que la comparación se plantea con otro ayuntamiento recurrente. La discrepancia se centra en el requisito a), esto es, en la validez del tertium comparationis que se trae al caso. El recurrente y el ministerio fiscal consideran que son “sustancialmente iguales”, mientras que el abogado del Estado sostiene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ambas resoluciones tienen por objeto reclamaciones por inactividad que se dirigen al Instituto del Carbón, en relación con los convenios específicos mediante los que se instrumentan las subvenciones reguladas en el Real Decreto 1112/2007, de 24 de agosto, por el que se establece el régimen de ayudas al desarrollo de las infraestructuras en las comarcas mineras del carbón. Las reclamaciones se fundamentan en lo dispuesto en el art. 29.1 LJCA, que dispone que “[c]uando la administración, en virtud de una disposición general que no precise de actos de aplicación o en virtud de un acto, contrato o convenio administrativo, esté obligada a realizar una prestación concreta en favor de una o varias personas determinadas, quienes tuvieran derecho a ella pueden reclamar de la administración el cumplimiento de dicha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argumenta el abogado del Estado, existe una diferencia relevante entre el caso del ayuntamiento de Belmez y el de Sobrescobio. Así como en el primero se habían ultimado todos los trámites administrativos y presupuestarios necesarios para que el convenio se perfeccionara, restando solo la firma del presidente del Instituto del Carbón, el proyectado convenio con el ayuntamiento de Sobrescobio no recibió la fiscalización favorable de la Intervención delegada. Esto fue debido —aclaran las sentencias del Juzgado Central y de la Audiencia Nacional— a que en su clausulado no figuraba que debía aportarse un certificado de tasador independiente debidamente acreditado o la valoración de los inmuebles por un funcionario competente que certificara el valor de los terrenos al pasar a titularidad pública, lo que respondía —precisan ambas resoluciones judiciales— a la petición expresa del ayuntamiento de que no constara dicha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señalada es sustancial a efectos de valorar la aplicación del art. 29.1 LJCA que hace la sentencia impugnada, cuya lectura confirma que la circunstancia expuesta es determinante para su fallo desestimatorio. Así, haciéndose eco de la apreciación que en este mismo sentido hizo el Juzgado Central en la primera instancia, la Audiencia Nacional mantiene que “lo decisivo en la argumentación de la sentencia [del juzgado] no es tanto que el convenio inicial no hubiera sido firmado por el Secretario de Estado del departamento, como que el convenio no obtuviese la fiscalización favorable de la intervención, precisa para desplegar eficacia toda obligación de pago prevista en él”; a lo que añade que “tales informes [de tasación] no figuran aportados al expediente ni en los documentos aportados con la demanda figura justificación alguna de que efectivamente fueran aportados al mismo en tiempo hábil para ser considerados por la administración”, concluyendo que debe “otorgar credibilidad al informe remitido por la administración [Instituto del Carbón] en el sentido de que el convenio no incorporó la peritación de los inmuebles por expresa solicitud del ayuntamiento, afirmación que este además no niega, por lo que no puede pretenderse ahora que sí fueron aportados”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colige que la sentencia impugnada no introduce un cambio interpretativo del órgano judicial sobre la aplicación del art. 29.1 LJCA a los convenios específicos previstos en el Real Decreto 1112/2007, sino que lo aplica en función de las circunstancias concretas del caso enjuiciado. De hecho, ya en la sentencia de 10 de febrero de 2016 (recurso núm. 83-2015), anterior por tanto a la aquí examinada, la misma Sala y Sección había desestimado un recurso interpuesto también frente a la supuesta inactividad del Instituto del Carbón, en esa ocasión por el Principado de Asturias. La desestimación fue debida a las concretas “circunstancias fácticas”, pues en el caso examinado no se habían justificado adecuadamente las inversiones subvencionables, a diferencia de otras sentencias estimatorias anteriores que se citan y que son precisamente las invocadas en el presente recurso de amparo (las de 16 de abril de 2014 y 16 de septiembre de 2015). Así las cosas, en la precitada sentencia de 10 de febrero de 2016 la Sala confirma la resolución desestimatoria de primera instancia porque “lejos de limitarse a constatar la existencia de un pronunciamiento anterior de esta Sala sobre un supuesto análogo y que le podría haber llevado, en un superficial análisis del debate, a un pronunciamiento estimatorio de la pretensiones del recurrente, analiza y profundiza en las circunstancias del caso concreto para apartarse de lo dicho en nuestra sentencia de 16 de abril de 2014”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con posterioridad, el mismo órgano ha dictado resoluciones que en unos casos declaran la inactividad del organismo estatal en la gestión de las subvenciones mineras porque entiende que se dan los requisitos del art. 29.1 LJCA (por ejemplo, la sentencia de 29 de marzo de 2017, recurso núm. 380-2013, casada y anulada por la sentencia del Tribunal Supremo de 18 de febrero de 2019, recurso núm. 3509-2017), mientras que en otros supuestos concluye que no concurren las condiciones para aplicar dicho precepto (por ejemplo, la sentencia de 12 de julio de 2017, recurso núm. 73-2016).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aquellas resoluciones revela que los convenios para la gestión de las subvenciones del Real Decreto 1112/2007 ofrecen una amplia casuística litigiosa. Así, en ocasiones los convenios se tramitaron totalmente pero faltaba la última firma; en otras, llegaron a estar vigentes pero caducaron o se hizo preciso enmendarlos mediante adendas para ampliar los plazos o modificar su objeto; en otros supuestos, las inversiones no fueron justificadas de forma adecuada. Se trata, en suma, de situaciones diversas que para el órgano judicial merecen un distinto tratamiento desde la óptica del art. 29.1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existe “una consolidada línea jurisprudencial que la ahora impugnada haya venido a romper para el caso concreto del aquí recurrente” (STC 150/2011, de 29 de septiembre, FJ 10), sino soluciones que se han adoptado motivadamente en atención a las circunstancias específicas de cada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desestimar la alegada vulneración del principio de igualdad en la aplicación judicial de la ley (art. 14 CE). En cuanto al derecho a la tutela judicial efectiva (art. 24.1 CE), la demanda de amparo no alega su posible lesión como una infracción autónoma, sino vinculada a la del principio de igualdad, por lo que la invocada vulneración de este último derecho debe correr la misma suerte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promovido por el ayuntamiento de Sobrescobio (Asturias), contra la sentencia de la Sección Cuarta de la Sala de lo Contencioso-Administrativo de la Audiencia Nacional de 8 de noviembre de 2016, recaída en el recurso de apelación núm. 102-2015.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