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129</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2537-2019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2537-2019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362-2018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22 de abril de 2019, tuvo entrada en el registro general de este Tribunal Constitucional un escrito de la procuradora doña Blanca Berriatua Horta, en representación de la entidad Penrei Inversiones, S.L., por el que interpuso recurso de amparo contra el auto de 21 de septiembre de 2018 del Juzgado de Primera Instancia e Instrucción núm. 5 de Lorca, que inadmitió por extemporánea la demanda de oposición a la ejecución hipotecaria promovida por la sociedad recurrente en amparo, y contra el auto del mismo juzgado, de 27 de febrero de 2019, que desestimó el recurso de reposición sucesivamente interpuesto contra la anterior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21 de septiembre de 2018, el Juzgado de Primera Instancia e Instrucción núm. 5 de Lorca dictó un auto en el procedimiento de ejecución hipotecaria núm. 362-2018 por el que acordó: “Inadmitir a trámite la oposición formulada por la parte ejecutada Penrei Inversiones, S.L., Euroinversiones Inmobiliarias Costa Sur, S.L.”, advirtiendo en pie de recurso que contra dicha resolución cabía recurso de reposición.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basó su decisión, conforme a su fundamento de Derecho único, en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establece en el artículo 134 de la L.E.C., la improrrogabilidad de los plazos establecidos en la misma, y en el artículo 136 LEC, que transcurrido o pasado el término señalado para la realización de un acto procesal de parte se producirá la preclusión y se perderá la oportunidad de realizar el acto de que se trate. Establece el artículo 695 LEC, que la parte ejecutada pueda oponerse al despacho de la ejecución en los términos previstos en dicho artículo y en el plazo de diez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Formalizado contra dicho auto recurso de reposición por la entidad aquí demandante de amparo, el juzgado a quo dictó auto el 27 de febrero de 2019 desestimándolo, con confirmación de la resolución recurrida, en virtud de los motivos expresados en su razonamiento jurídico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siendo indiscutible la condición de personas jurídicas de las recurrentes, las mismas desde el 1 de enero de 2017 (disposición transitoria cuarta de la Ley 42/2015, de 5 de octubre, de reforma de la LEC) están obligadas a relacionarse con la administración de justicia por medios electrónicos [art. 14. 2 a) de la Ley 39/2015, de procedimiento administrativo común de las administraciones públicas, y art. 273. 3 a)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consta que la notificación se puso a disposición de las recurrentes en fecha 13 de junio de 2018 no accediendo al contenido hasta el día 25 de julio de 2018 respecto a Penrei Inversiones, S.L., y el día 26 de julio de 2018 a Euroinversiones Inmobiliarias Costa Sur, S.L. (fuera de los tres días que establece la normativa procesal), presentando los escritos de oposición a la ejecución en fecha 31 de julio de 2018 claramente fuera del plazo legalmente establecido en el art. 556. 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traía el siguiente pie de recurso: “Notifíquese esta resolución a las partes personadas, haciéndoles saber que es firme, y contra la misma no cabe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causan la vulneración de los derechos a la tutela judicial efectiva (art. 24.1 CE) y a un proceso con todas las garantías (art. 24.2 CE) de la entidad recurrente, al no ser notificada personalmente la demanda de ejecución hipotecaria, otorgándose efecto a la remisión de un correo electrónico por un servicio de notificaciones electrónicas que carece de los requisitos esenciales para considerarse un acto de notificación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reconoce que si bien la recurrente, por ser una persona jurídica, viene por ello obligada a relacionarse con la administración de justicia a través de medios electrónicos, se afirma que cuando es el primer emplazamiento, y por tanto todavía aquella “no ha tenido ninguna relación con el juzgado correspondiente en este especial y concreto procedimiento”, ha de practicarse el acto mediante cédula de emplazamiento o citación con entrega en papel de la documentación correspondiente, conforme establece el art. 273 LEC, en relación con los arts. 135, 152, 162 y 155 de la misma norma. El último precepto citado, precisa, “es categórico al respecto, ya que en su punto primero nos indica que cuando las partes no actúen representadas por procurador o se trate del primer emplazamiento o citación al demandado, los actos de comunicación se harán por remisión al domicilio de los litigantes”. Añade el recurso, por lo demás, que incluso la notificación realizada careció de las formalidades necesarias en las comunicaciones electrónicas. Sobre el auto del 27 de febrero de 2019, que desestimó la reposición, se aduce que, con independencia de que las personas jurídicas hayan de relacionarse con la administración en general por medios electrónicos, en ningún precepto de la Ley de enjuiciamiento civil se dice que al proceso civil se le apliquen normas del proceso administrativo, pues en el ámbito procesal civil existen normas propias, que resultaron incumplidas.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de todo ello, se solicita de este Tribunal Constitucional que, con estimación del amparo, acuerde la nulidad de ambas resoluciones judiciales y ordene reponer las actuaciones al momento previo al dictado de la primera de ellas, a fin de que el juzgado a quo admita a trámite la demanda de oposición al despacho de ejecución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 de los pronunciamientos judiciales que han sido objeto de impugnación, con la celebración de subasta y la eventual adjudicación a terceros, pueden hacer perder al recurso de amparo su finalidad”, por lo que se solicitó “la suspensión de la continuación del procedimiento de ejecución hipotecaria 362-2018 seguido ante el Juzgado de Primera Instancia e Instrucción núm. 5 de Lorca, hasta tanto sea resuelto el presente recurso de amparo, poniéndolo en conocimiento del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Sección Cuarta, de este Tribunal Constitucional, dictó providencia el 16 de septiembre de 2019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toda vez que el recurso puede dar ocasión al Tribunal para aclarar o cambiar su doctrina, como consecuencia de cambios normativos relevantes para la configuración del contenido del derecho fundamental [STC 155/2009,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diríjase atenta comunicación al Juzgado de Primera Instancia e Instrucción núm. 5 de Lorca a fin de que, en plazo que no exceda de diez días, remita certificación o fotocopia adverada de las actuaciones correspondientes a la ejecución hipotecaria núm. 362-2018; debiendo emplazar, para que en el plazo de diez días puedan comparecer, si lo desean, en el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testimonio de los particulares necesarios, fórmese pieza separada de suspensión en la que se acordará lo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dictada por la Sección Cuarta de este Tribunal en la misma fecha de la admisión del recurso, el 16 de setiembre de 2019,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entidad recurrente presentó su escrito de alegaciones con fecha 25 de septiembre de 2019, interesando se acceda a lo solicitado en cuanto a la suspensión del procedimiento de ejecución hipotecaria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alega que la continuación de tal procedimiento, “con la celebración de subasta y la eventual adjudicación a terceros o en su caso fuera adjudicada a la propia demandante del procedimiento de ejecución hipotecaria, harían perder al recurso de amparo su finalidad y provocarían perjuicios patrimoniales para mi representada de imposible o difícil reparación”. Invoca a su favor lo resuelto por este Tribunal en su ATC 287/2013, de 16 de diciembre, reiterando a renglón seguido las vulneraciones constitucionales de fondo que aduce en su demanda e indicando que, de persistir estas, “la desposesión del bien ejecutado, conllevaría a situaciones irreversibles, con un inevitable perjuicio” para la sociedad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fiscal ante este Tribunal Constitucional formalizó su escrito de alegaciones en esta pieza el 27 de septiembre de 2019, interesando que se adopte únicamente la medida de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juicio, la suspensión solicitada comportaría la paralización del procedimiento ejecutivo que, por su propia naturaleza, goza de las características de celeridad y sumariedad, siendo mucho más eficaz en su criterio, para conseguir el efecto protector deseado, acordar la anotación preventiva de la demanda de amparo en el registro de la propiedad, ya que de esta manera se daría publicidad frente a terceros de la pendencia del recurso, lo que conlleva el conocimiento de los efectos que sobre la titularidad de la vivienda puede tener el otorgamiento del amparo en su caso, evitando que el hipotético adquirente quede especialmente protegido por su buena fe en la adquisición. Cita en apoyo de su petición el art. 56.3 LOTC, que permite al Tribunal adoptar toda medida que evite que el recurso de amparo pueda perder su finalidad, así como el ATC 95/2015, de 25 de mayo, FJ 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362-2018,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hipotecado.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FJ 3; 88/2018, de 17 de septiembre, FJ 5, y 2/2019, de 9 de enero, FJ 4, así como en el ATC 85/2019, de 15 de julio,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362-2018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