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5545-2018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5545-2018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91-2018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entidad mercantil Euroinversiones Inmobiliarias Costa Sur, S.L., representada por la procuradora de los tribunales doña Blanca Berriatua Horta, con asistencia letrada de don Marcelino Gilabert García, solicita la suspensión del proceso de ejecución hipotecaria núm. 91-2018 tramitado por el Juzgado de Primera Instancia e Instrucción núm. 3 de Lorca. Lo hace por otrosí en el escrito de 25 de octubre de 2018 por el que interpone recurso de amparo contra los autos de 10 de julio y 13 de septiembre del mismo año recaídos en aquel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91-2018 promovido por la entidad Banco de Sabadell, S.A., frente a la sociedad Euroinversiones Inmobiliarias Costa Sur, S.L., en calidad de prestataria e hipotecante.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Despachada ejecución por auto de 3 de mayo de 2018, la sociedad demandada, actual recurrente en amparo, fue requerida y notificada el 7 del mismo mes a través de la sede judicial electrónica.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5 de julio de 2018, la sociedad demandada formula oposición a la ejecución despachada. Por auto de 10 del mismo mes fue inadmitida por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ejecutada interpone recurso de reposición. Alega que las diligencias de notificación y requerimiento se realizaron el 23 de junio de 2018. La comunicación remitida a través de la dirección electrónica habilitada no sería más que un aviso de puesta a disposición o descarga de su contenido durante un plazo determinado. Entenderlo de otro modo vulneraría el art. 24 CE, además de los arts. 135, 152, 160, 162 de la Ley 1/2000, de 7 de enero,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desestimado por auto de 13 de septiembre de 2018. El órgano judicial razona a la vista del art. 43 de la Ley 39/2015, de 1 de octubre, de procedimiento administrativo común, que la sociedad demandada contaba con diez días para acceder al contenido de la resolución y, con ello, para tenerse por notificada. En el presente caso, el 7 de mayo de 2018 la notificación estaba ya disponible. El escrito de oposición se formuló el 5 de julio y, por tanto, claramente fuera del plazo establecido en el art. 556.1 LEC (diez días desde la notificación del auto que despacha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 la tutela judicial efectiva y a un proceso con garantías y sin indefensión (art. 24.1 y 2 CE). La interpretación de la legislación procesal, realizada a partir de una ley de procedimiento administrativo, habría privado injustamente a la recurrente de su derecho a formular oposición a la ejecución hipotecaria. Tratándose de un primer emplazamiento, debió realizarse del modo tradicional (art. 273 LEC). El órgano judicial habría incumplido su obligación de asegurar, no ya la legalidad formal de los actos de comunicación, sino el cumplimiento efectivo de su finalidad constitucional. La demanda solicita por otrosí la suspensión del proceso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septiembre de 2019, la Sección Segunda de este Tribunal acuerda admitir a trámite el recurso y dirigir comunicación al Juzgado de Primera Instancia e Instrucción núm. 3 de Lorca, a fin de que, en el plazo de diez días, remita certificación o fotocopia adveradas de las actuaciones correspondientes a los autos de ejecución hipotecaria y emplace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acuerda formar la oportuna pieza para la tramitación del incidente de suspensión y, conforme a lo dispuesto en el art. 56 de la Ley Orgánica del Tribunal Constitucional (LOTC), concede un plazo común de tres días a la parte recurrente y al ministerio fiscal para que aleguen lo que estimen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20 de septiembre de 2019, la demandante de amparo insiste en que la ejecución se ha despachado con vulneración de su derecho a la tutela judicial efectiva. Añade que la doctrina constitucional ha accedido a suspender ejecuciones hipotecarias en otros casos y que no hacerlo en el presente conduciría a situaciones irreversibles con inevitables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3 de octubre siguiente, el ministerio fiscal interesa que se acuerde la anotación preventiva de la demanda en el registro de la propiedad, por más que no haya sido solicitada. Tras exponer la doctrina constitucional sobre suspensión de resoluciones impugnadas, considera que, de no adoptarse la anotación preventiva de la demanda, la tutela que el Tribunal pudiera otorgar corre el riesgo de ser incompleta; dejaría abierta la posibilidad de que la finca sea transmitida a un tercero de buena fe mientras se sustancia y resuelve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Personada en las actuaciones principales la entidad Pera Assets Designated Activity Company, el secretario de justicia de la Sala Primera de este Tribunal, mediante diligencia de ordenación de 21 de octubre de 2019, le concede un plazo de tres días para alegar en relación con la petición de suspensión interesada por la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de 28 de octubre de 2019, la entidad Pera Assets Designated Activity Company, representada por la procuradora de los tribunales doña Blanca María Grande Pesquero, afirma que Banco Sabadell le ha cedido el crédito hipotecario y que, en virtud del régimen de sucesión procesal, las actuaciones deben continuarse con ella. Tras ello se opone a la suspensión solicitada a la vista de la doctrina constitucional, la vaguedad de la petición formulada, la mala fe procesal demostrada y el no ofrecimiento de un principio razonable de prueba ni caución o fianza razonable.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resolver sobre la procedencia de la medida cautelar instada por la parte recurrente en amparo y dirigida frente al procedimiento de ejecución hipotecaria núm. 91-2018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se configura como una medida de carácter excepcional y de aplicación restrictiva (por todos, AATC 117/2015, de 6 de julio, FJ 1, y 59/2017, de 24 de abril, FJ 1).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que se ocasionarían de seguirse la ejecución del acto impugnado. Debe mostrar que la ejecución del acto recurrido puede privar a la demanda de amparo de su finalidad, provocando que el restablecimiento del recurrente en el derecho constitucional vulnerado sea tardío y convirtiendo en meramente ilusorio y nominal el amparo impetrado [AATC 51/1989, de 30 de enero, 144 290/1995, de 23 de octubre, 370/1996, de 16 de diciembre, 283/1999, de 29 de noviembre, 90/2014, de 27 de marzo, FJ 1; 190/2015, de 5 de noviembre, FJ 2 a); 59/2017, de 24 de abril, 146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150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 situación,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lo reputa idóneo para evitar el perjuicio derivado de que la adquisición del bien por tercero lo haga irreivindicable. Esta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188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91-2018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