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1981-2019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1981-2019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57-2018 seguido en el Juzgado de Primera Instancia e Instrucción núm. 6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entidad mercantil Penrei Inversiones, S.L., representada por la procuradora de los tribunales doña Blanca Berriatua Horta, con asistencia letrada de doña Anju Nirmala Benavent Rodríguez, solicita la suspensión del proceso de ejecución hipotecaria núm. 57-2018 tramitado por el Juzgado de Primera Instancia e Instrucción núm. 6 de Lorca. Lo hace por otrosí en el escrito de 26 de marzo de 2019 por el que interpone recurso de amparo contra los autos de 17 de septiembre de 2018 y 11 de febrero del año siguiente recaídos en aquel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6 de Lorca se sigue procedimiento de ejecución hipotecaria núm. 57-2018 promovido por la entidad Banco de Sabadell, S.A., frente a las sociedades Euroinversiones Inmobiliarias Costa Sur, S.L., en calidad de prestataria e hipotecante, y Penrei Inversiones, S.L., en calidad de titular del derecho uso del inmueble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Despachada ejecución por auto de 29 de mayo de 2018, las sociedades demandadas fueron requeridas y notificadas el 30 del mismo mes a través de la Sede Judicial Electrónica.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24 de julio de 2018, las sociedades demandadas formulan oposición a la ejecución despachada. Por Auto de 17 de septiembre del mismo año fue inadmitida por extemporánea, tomando como fecha de notificación el 30 de mayo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ejecutada Penrei Inversiones, S.L., interpone recurso de reposición. Alega que las diligencias de notificación y requerimiento se realizaron el 15 de julio de 2018. La comunicación remitida a través de la dirección electrónica habilitada no sería más que un aviso de puesta a disposición o descarga de su contenido durante un plazo determinado. Entenderlo de otro modo vulneraría el art. 24 CE, además de los arts. 135, 152, 160, 162 de la Ley 1/2000, de 7 de enero,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desestimado por auto de 11 de febrero de 2019. El órgano judicial razona a la vista del art. 43 de la Ley 39/2015, de 1 de octubre, de procedimiento administrativo común, que la sociedad demandada contaba con diez días para acceder al contenido de la resolución y, con ello, para tenerse por notificada. En el presente caso, el 30 de mayo de 2018 la notificación estaba ya disponible. El escrito de oposición se formuló el 24 de julio y, por tanto, claramente fuera del plazo establecido en el art. 556.1 LEC (diez días desde la notificación del auto que despacha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 la tutela judicial efectiva y a un proceso con garantías y sin indefensión (art. 24.1 y 2 CE). La interpretación de la legislación procesal, realizada a partir de una ley de procedimiento administrativo, habría privado injustamente a la recurrente de su derecho a formular oposición a la ejecución hipotecaria. Tratándose de un primer emplazamiento, debió realizarse del modo tradicional (art. 273 LEC). El órgano judicial habría incumplido su obligación de asegurar, no ya la legalidad formal de los actos de comunicación, sino el cumplimiento efectivo de su finalidad constitucional. La demanda solicita por otrosí la suspensión del proceso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septiembre de 2019, la Sección Segunda de este Tribunal acuerda admitir a trámite el recurso y dirigir comunicación al Juzgado de Primera Instancia e Instrucción núm. 6 de Lorca, a fin de que, en el plazo de diez días, remita certificación o fotocopia adveradas de las actuaciones correspondientes a los autos de ejecución hipotecaria y emplace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acuerda formar la oportuna pieza para la tramitación del incidente de suspensión y, conforme a lo dispuesto en el art. 56 de la Ley Orgánica del Tribunal Constitucional (LOTC), concede un plazo común de tres días a la parte recurrente y al ministerio fiscal para que aleguen lo que estimen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20 de septiembre de 2019, la demandante de amparo insiste en que la ejecución se ha despachado con vulneración de su derecho a la tutela judicial efectiva. Añade que la doctrina constitucional ha accedido a suspender ejecuciones hipotecarias en otros casos y que no hacerlo en el presente conduciría a situaciones irreversibles con inevitables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3 de octubre siguiente, el ministerio fiscal interesa que se acuerde la anotación preventiva de la demanda en el registro de la propiedad, por más que no haya sido solicitada. Tras exponer la doctrina constitucional sobre suspensión de resoluciones impugnadas, considera que, de no adoptarse la anotación preventiva de la demanda, la tutela que el Tribunal pudiera otorgar corre el riesgo de ser incompleta; dejaría abierta la posibilidad de que la finca sea transmitida a un tercero de buena fe mientras se sustancia y resuelve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Personada en las actuaciones principales la entidad Pera Assets Designated Activity Company, el secretario de justicia de la Sala Primera, mediante diligencia de ordenación de 21 de octubre de 2019, le concede un plazo de tres días para alegar en relación con la petición de suspensión interesada por la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de 28 de octubre de 2019, la entidad Pera Assets Designated Activity Company, representada por la procuradora de los tribunales, doña Blanca María Grande Pesquero, afirma que Banco Sabadell le ha cedido el crédito hipotecario y que, en virtud del régimen de sucesión procesal, las actuaciones deben continuarse con ella. Tras ello se opone a la suspensión solicitada a la vista de la doctrina constitucional, la vaguedad de la petición formulada, la mala fe procesal demostrada y el no ofrecimiento de un principio razonable de prueba ni caución o fianza razonable.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resolver sobre la procedencia de la medida cautelar instada por la parte recurrente en amparo y dirigida frente al procedimiento de ejecución hipotecaria núm. 57-2018 seguido en el Juzgado de Primera Instancia e Instrucción núm. 6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se configura como una medida de carácter excepcional y de aplicación restrictiva (por todos, AATC 117/2015, de 6 de julio, FJ 1, y 59/2017, de 24 de abril, FJ 1).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Debe mostrar que la ejecución del acto recurrido puede privar a la demanda de amparo de su finalidad, provocando que el restablecimiento del recurrente en el derecho constitucional vulnerado sea tardío y convirtiendo en meramente ilusorio y nominal el amparo impetrado [AATC 51/1989, de 30 de enero, 144 290/1995, de 23 de octubre, 370/1996, de 16 de diciembre, 283/1999, de 29 de noviembre, 90/2014, de 27 de marzo, FJ 1; 190/2015, de 5 de noviembre, FJ 2 a); 59/2017, de 24 de abril, 146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 situación,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lo reputa idóneo para evitar el perjuicio derivado de que la adquisición del bien por tercero lo haga irreivindicable. Esta ha sido la solución acogida recientemente, entre otros, en los AATC 2/2019, 178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188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192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57-2018 seguido en el Juzgado de Primera Instancia e Instrucción núm. 6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